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328EA">
      <w:pPr>
        <w:adjustRightInd w:val="0"/>
        <w:snapToGrid w:val="0"/>
        <w:spacing w:beforeAutospacing="0" w:after="200" w:afterAutospacing="0" w:line="360" w:lineRule="auto"/>
        <w:jc w:val="center"/>
        <w:rPr>
          <w:rFonts w:hint="eastAsia" w:ascii="仿宋" w:hAnsi="仿宋" w:eastAsia="仿宋" w:cs="仿宋"/>
          <w:b/>
          <w:bCs/>
          <w:color w:val="auto"/>
          <w:sz w:val="44"/>
          <w:szCs w:val="44"/>
          <w:highlight w:val="none"/>
          <w:lang w:eastAsia="zh-CN"/>
        </w:rPr>
      </w:pPr>
    </w:p>
    <w:p w14:paraId="35C4D0B4">
      <w:pPr>
        <w:adjustRightInd w:val="0"/>
        <w:snapToGrid w:val="0"/>
        <w:spacing w:beforeAutospacing="0" w:after="200" w:afterAutospacing="0" w:line="360" w:lineRule="auto"/>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荥阳市交通运输局荥阳市2025年普通国省道</w:t>
      </w:r>
    </w:p>
    <w:p w14:paraId="4FB8F25E">
      <w:pPr>
        <w:adjustRightInd w:val="0"/>
        <w:snapToGrid w:val="0"/>
        <w:spacing w:beforeAutospacing="0" w:after="200" w:afterAutospacing="0" w:line="360" w:lineRule="auto"/>
        <w:jc w:val="center"/>
        <w:rPr>
          <w:rFonts w:hint="eastAsia" w:ascii="仿宋" w:hAnsi="仿宋" w:eastAsia="仿宋" w:cs="仿宋"/>
          <w:b/>
          <w:color w:val="auto"/>
          <w:kern w:val="0"/>
          <w:sz w:val="84"/>
          <w:szCs w:val="84"/>
          <w:highlight w:val="none"/>
          <w:lang w:val="en-US" w:eastAsia="zh-CN"/>
        </w:rPr>
      </w:pPr>
      <w:r>
        <w:rPr>
          <w:rFonts w:hint="eastAsia" w:ascii="仿宋" w:hAnsi="仿宋" w:eastAsia="仿宋" w:cs="仿宋"/>
          <w:b/>
          <w:bCs/>
          <w:color w:val="auto"/>
          <w:sz w:val="44"/>
          <w:szCs w:val="44"/>
          <w:highlight w:val="none"/>
          <w:lang w:val="en-US" w:eastAsia="zh-CN"/>
        </w:rPr>
        <w:t>穿村过镇平交路口治理项目</w:t>
      </w:r>
    </w:p>
    <w:p w14:paraId="49EBD5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lang w:val="en-US" w:eastAsia="zh-CN"/>
        </w:rPr>
        <w:t>竞争性磋商</w:t>
      </w:r>
      <w:r>
        <w:rPr>
          <w:rFonts w:hint="eastAsia" w:ascii="仿宋" w:hAnsi="仿宋" w:eastAsia="仿宋" w:cs="仿宋"/>
          <w:b/>
          <w:color w:val="auto"/>
          <w:kern w:val="0"/>
          <w:sz w:val="84"/>
          <w:szCs w:val="84"/>
          <w:highlight w:val="none"/>
        </w:rPr>
        <w:t>文件</w:t>
      </w:r>
    </w:p>
    <w:p w14:paraId="1279B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项目</w:t>
      </w:r>
      <w:r>
        <w:rPr>
          <w:rFonts w:hint="eastAsia" w:ascii="仿宋" w:hAnsi="仿宋" w:eastAsia="仿宋" w:cs="仿宋"/>
          <w:b/>
          <w:bCs/>
          <w:color w:val="auto"/>
          <w:kern w:val="0"/>
          <w:sz w:val="30"/>
          <w:szCs w:val="30"/>
          <w:highlight w:val="none"/>
        </w:rPr>
        <w:t>编号：</w:t>
      </w:r>
      <w:r>
        <w:rPr>
          <w:rFonts w:hint="eastAsia" w:ascii="仿宋" w:hAnsi="仿宋" w:eastAsia="仿宋" w:cs="仿宋"/>
          <w:b/>
          <w:bCs/>
          <w:color w:val="auto"/>
          <w:kern w:val="0"/>
          <w:sz w:val="30"/>
          <w:szCs w:val="30"/>
          <w:highlight w:val="none"/>
          <w:lang w:val="en-US" w:eastAsia="zh-CN"/>
        </w:rPr>
        <w:t>荥财磋商-2025-54</w:t>
      </w:r>
    </w:p>
    <w:p w14:paraId="1EECCCA0">
      <w:pPr>
        <w:pStyle w:val="19"/>
        <w:rPr>
          <w:rFonts w:hint="eastAsia" w:ascii="仿宋" w:hAnsi="仿宋" w:eastAsia="仿宋" w:cs="仿宋"/>
          <w:color w:val="auto"/>
          <w:kern w:val="0"/>
          <w:sz w:val="30"/>
          <w:szCs w:val="30"/>
          <w:highlight w:val="none"/>
        </w:rPr>
      </w:pPr>
      <w:r>
        <w:rPr>
          <w:rFonts w:hint="eastAsia" w:ascii="宋体" w:hAnsi="宋体" w:eastAsia="宋体" w:cs="宋体"/>
          <w:b/>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2265045</wp:posOffset>
            </wp:positionH>
            <wp:positionV relativeFrom="paragraph">
              <wp:posOffset>44450</wp:posOffset>
            </wp:positionV>
            <wp:extent cx="2324735" cy="2943225"/>
            <wp:effectExtent l="0" t="0" r="18415" b="9525"/>
            <wp:wrapTight wrapText="bothSides">
              <wp:wrapPolygon>
                <wp:start x="10266" y="0"/>
                <wp:lineTo x="7965" y="979"/>
                <wp:lineTo x="7434" y="1398"/>
                <wp:lineTo x="7434" y="2237"/>
                <wp:lineTo x="1770" y="4474"/>
                <wp:lineTo x="0" y="5313"/>
                <wp:lineTo x="0" y="11883"/>
                <wp:lineTo x="4248" y="13421"/>
                <wp:lineTo x="2655" y="15658"/>
                <wp:lineTo x="1947" y="17196"/>
                <wp:lineTo x="1770" y="21530"/>
                <wp:lineTo x="20001" y="21530"/>
                <wp:lineTo x="20355" y="21530"/>
                <wp:lineTo x="20532" y="16497"/>
                <wp:lineTo x="19470" y="15658"/>
                <wp:lineTo x="17346" y="15658"/>
                <wp:lineTo x="17523" y="13421"/>
                <wp:lineTo x="21417" y="11744"/>
                <wp:lineTo x="21417" y="5313"/>
                <wp:lineTo x="14160" y="2097"/>
                <wp:lineTo x="13629" y="1398"/>
                <wp:lineTo x="12036" y="0"/>
                <wp:lineTo x="10266" y="0"/>
              </wp:wrapPolygon>
            </wp:wrapTight>
            <wp:docPr id="1" name="图片 3" descr="19ee13f8749b93a0f9ab99a82238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9ee13f8749b93a0f9ab99a82238f52"/>
                    <pic:cNvPicPr>
                      <a:picLocks noChangeAspect="1"/>
                    </pic:cNvPicPr>
                  </pic:nvPicPr>
                  <pic:blipFill>
                    <a:blip r:embed="rId21"/>
                    <a:stretch>
                      <a:fillRect/>
                    </a:stretch>
                  </pic:blipFill>
                  <pic:spPr>
                    <a:xfrm>
                      <a:off x="0" y="0"/>
                      <a:ext cx="2324735" cy="2943225"/>
                    </a:xfrm>
                    <a:prstGeom prst="rect">
                      <a:avLst/>
                    </a:prstGeom>
                    <a:noFill/>
                    <a:ln>
                      <a:noFill/>
                    </a:ln>
                  </pic:spPr>
                </pic:pic>
              </a:graphicData>
            </a:graphic>
          </wp:anchor>
        </w:drawing>
      </w:r>
    </w:p>
    <w:p w14:paraId="0C36BF0E">
      <w:pPr>
        <w:pStyle w:val="19"/>
        <w:rPr>
          <w:rFonts w:hint="eastAsia" w:ascii="仿宋" w:hAnsi="仿宋" w:eastAsia="仿宋" w:cs="仿宋"/>
          <w:color w:val="auto"/>
          <w:kern w:val="0"/>
          <w:sz w:val="30"/>
          <w:szCs w:val="30"/>
          <w:highlight w:val="none"/>
        </w:rPr>
      </w:pPr>
    </w:p>
    <w:p w14:paraId="3A120086">
      <w:pPr>
        <w:pStyle w:val="19"/>
        <w:rPr>
          <w:rFonts w:hint="eastAsia" w:ascii="仿宋" w:hAnsi="仿宋" w:eastAsia="仿宋" w:cs="仿宋"/>
          <w:color w:val="auto"/>
          <w:kern w:val="0"/>
          <w:sz w:val="30"/>
          <w:szCs w:val="30"/>
          <w:highlight w:val="none"/>
        </w:rPr>
      </w:pPr>
    </w:p>
    <w:p w14:paraId="5277281B">
      <w:pPr>
        <w:pStyle w:val="19"/>
        <w:rPr>
          <w:rFonts w:hint="eastAsia" w:ascii="仿宋" w:hAnsi="仿宋" w:eastAsia="仿宋" w:cs="仿宋"/>
          <w:color w:val="auto"/>
          <w:kern w:val="0"/>
          <w:sz w:val="30"/>
          <w:szCs w:val="30"/>
          <w:highlight w:val="none"/>
        </w:rPr>
      </w:pPr>
    </w:p>
    <w:p w14:paraId="352EDC9B">
      <w:pPr>
        <w:adjustRightInd w:val="0"/>
        <w:snapToGrid w:val="0"/>
        <w:spacing w:beforeAutospacing="0" w:afterAutospacing="0" w:line="360" w:lineRule="auto"/>
        <w:jc w:val="left"/>
        <w:rPr>
          <w:rFonts w:hint="eastAsia" w:ascii="仿宋" w:hAnsi="仿宋" w:eastAsia="仿宋" w:cs="仿宋"/>
          <w:color w:val="auto"/>
          <w:kern w:val="0"/>
          <w:sz w:val="30"/>
          <w:szCs w:val="30"/>
          <w:highlight w:val="none"/>
        </w:rPr>
      </w:pPr>
    </w:p>
    <w:p w14:paraId="501BF06E">
      <w:pPr>
        <w:adjustRightInd w:val="0"/>
        <w:snapToGrid w:val="0"/>
        <w:spacing w:beforeAutospacing="0" w:afterAutospacing="0" w:line="360" w:lineRule="auto"/>
        <w:jc w:val="left"/>
        <w:rPr>
          <w:rFonts w:hint="eastAsia" w:ascii="仿宋" w:hAnsi="仿宋" w:eastAsia="仿宋" w:cs="仿宋"/>
          <w:color w:val="auto"/>
          <w:kern w:val="0"/>
          <w:sz w:val="30"/>
          <w:szCs w:val="30"/>
          <w:highlight w:val="none"/>
        </w:rPr>
      </w:pPr>
    </w:p>
    <w:tbl>
      <w:tblPr>
        <w:tblStyle w:val="27"/>
        <w:tblpPr w:leftFromText="180" w:rightFromText="180" w:vertAnchor="text" w:horzAnchor="page" w:tblpX="1824" w:tblpY="2213"/>
        <w:tblOverlap w:val="never"/>
        <w:tblW w:w="0" w:type="auto"/>
        <w:tblInd w:w="0" w:type="dxa"/>
        <w:tblLayout w:type="autofit"/>
        <w:tblCellMar>
          <w:top w:w="0" w:type="dxa"/>
          <w:left w:w="108" w:type="dxa"/>
          <w:bottom w:w="0" w:type="dxa"/>
          <w:right w:w="108" w:type="dxa"/>
        </w:tblCellMar>
      </w:tblPr>
      <w:tblGrid>
        <w:gridCol w:w="2746"/>
        <w:gridCol w:w="5638"/>
      </w:tblGrid>
      <w:tr w14:paraId="0FB6E671">
        <w:tblPrEx>
          <w:tblCellMar>
            <w:top w:w="0" w:type="dxa"/>
            <w:left w:w="108" w:type="dxa"/>
            <w:bottom w:w="0" w:type="dxa"/>
            <w:right w:w="108" w:type="dxa"/>
          </w:tblCellMar>
        </w:tblPrEx>
        <w:tc>
          <w:tcPr>
            <w:tcW w:w="2746" w:type="dxa"/>
            <w:noWrap w:val="0"/>
            <w:vAlign w:val="top"/>
          </w:tcPr>
          <w:p w14:paraId="7B4FB8F7">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采   购   人：</w:t>
            </w:r>
          </w:p>
        </w:tc>
        <w:tc>
          <w:tcPr>
            <w:tcW w:w="5638" w:type="dxa"/>
            <w:noWrap w:val="0"/>
            <w:vAlign w:val="top"/>
          </w:tcPr>
          <w:p w14:paraId="1F4F2D40">
            <w:pPr>
              <w:spacing w:before="240" w:beforeLines="100" w:after="240" w:afterLines="1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荥阳市交通运输局</w:t>
            </w:r>
          </w:p>
        </w:tc>
      </w:tr>
      <w:tr w14:paraId="7C67244F">
        <w:tblPrEx>
          <w:tblCellMar>
            <w:top w:w="0" w:type="dxa"/>
            <w:left w:w="108" w:type="dxa"/>
            <w:bottom w:w="0" w:type="dxa"/>
            <w:right w:w="108" w:type="dxa"/>
          </w:tblCellMar>
        </w:tblPrEx>
        <w:tc>
          <w:tcPr>
            <w:tcW w:w="2746" w:type="dxa"/>
            <w:noWrap w:val="0"/>
            <w:vAlign w:val="top"/>
          </w:tcPr>
          <w:p w14:paraId="4E0ECCD3">
            <w:pPr>
              <w:spacing w:before="240" w:beforeLines="100" w:after="240" w:afterLines="100"/>
              <w:jc w:val="right"/>
              <w:rPr>
                <w:rFonts w:hint="eastAsia" w:ascii="仿宋" w:hAnsi="仿宋" w:eastAsia="仿宋" w:cs="仿宋"/>
                <w:color w:val="auto"/>
                <w:highlight w:val="none"/>
              </w:rPr>
            </w:pPr>
            <w:r>
              <w:rPr>
                <w:rFonts w:hint="eastAsia" w:ascii="仿宋" w:hAnsi="仿宋" w:eastAsia="仿宋" w:cs="仿宋"/>
                <w:b/>
                <w:bCs/>
                <w:color w:val="auto"/>
                <w:sz w:val="36"/>
                <w:szCs w:val="36"/>
                <w:highlight w:val="none"/>
              </w:rPr>
              <w:t>采购代理机构：</w:t>
            </w:r>
          </w:p>
        </w:tc>
        <w:tc>
          <w:tcPr>
            <w:tcW w:w="5638" w:type="dxa"/>
            <w:noWrap w:val="0"/>
            <w:vAlign w:val="top"/>
          </w:tcPr>
          <w:p w14:paraId="3DCFBC56">
            <w:pPr>
              <w:spacing w:before="240" w:beforeLines="100" w:after="240" w:afterLines="100"/>
              <w:rPr>
                <w:rFonts w:hint="eastAsia" w:ascii="仿宋" w:hAnsi="仿宋" w:eastAsia="仿宋" w:cs="仿宋"/>
                <w:color w:val="auto"/>
                <w:highlight w:val="none"/>
              </w:rPr>
            </w:pPr>
            <w:r>
              <w:rPr>
                <w:rFonts w:hint="eastAsia" w:ascii="仿宋" w:hAnsi="仿宋" w:eastAsia="仿宋" w:cs="仿宋"/>
                <w:b/>
                <w:bCs/>
                <w:color w:val="auto"/>
                <w:sz w:val="36"/>
                <w:szCs w:val="36"/>
                <w:highlight w:val="none"/>
                <w:lang w:eastAsia="zh-CN"/>
              </w:rPr>
              <w:t>河南保利招标咨询有限公司</w:t>
            </w:r>
          </w:p>
        </w:tc>
      </w:tr>
      <w:tr w14:paraId="07EC6668">
        <w:tblPrEx>
          <w:tblCellMar>
            <w:top w:w="0" w:type="dxa"/>
            <w:left w:w="108" w:type="dxa"/>
            <w:bottom w:w="0" w:type="dxa"/>
            <w:right w:w="108" w:type="dxa"/>
          </w:tblCellMar>
        </w:tblPrEx>
        <w:tc>
          <w:tcPr>
            <w:tcW w:w="2746" w:type="dxa"/>
            <w:noWrap w:val="0"/>
            <w:vAlign w:val="top"/>
          </w:tcPr>
          <w:p w14:paraId="670B46BB">
            <w:pPr>
              <w:spacing w:before="240" w:beforeLines="100" w:after="240" w:afterLines="100"/>
              <w:jc w:val="righ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日        期：</w:t>
            </w:r>
          </w:p>
        </w:tc>
        <w:tc>
          <w:tcPr>
            <w:tcW w:w="5638" w:type="dxa"/>
            <w:noWrap w:val="0"/>
            <w:vAlign w:val="top"/>
          </w:tcPr>
          <w:p w14:paraId="372C9FC1">
            <w:pPr>
              <w:spacing w:before="240" w:beforeLines="100" w:after="240" w:afterLines="100"/>
              <w:jc w:val="lef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二〇二</w:t>
            </w:r>
            <w:r>
              <w:rPr>
                <w:rFonts w:hint="eastAsia" w:ascii="仿宋" w:hAnsi="仿宋" w:eastAsia="仿宋" w:cs="仿宋"/>
                <w:b/>
                <w:bCs/>
                <w:color w:val="auto"/>
                <w:sz w:val="36"/>
                <w:szCs w:val="36"/>
                <w:highlight w:val="none"/>
                <w:lang w:val="en-US" w:eastAsia="zh-CN"/>
              </w:rPr>
              <w:t>五年十一</w:t>
            </w:r>
            <w:r>
              <w:rPr>
                <w:rFonts w:hint="eastAsia" w:ascii="仿宋" w:hAnsi="仿宋" w:eastAsia="仿宋" w:cs="仿宋"/>
                <w:b/>
                <w:bCs/>
                <w:color w:val="auto"/>
                <w:sz w:val="36"/>
                <w:szCs w:val="36"/>
                <w:highlight w:val="none"/>
                <w:lang w:eastAsia="zh-CN"/>
              </w:rPr>
              <w:t>月</w:t>
            </w:r>
          </w:p>
        </w:tc>
      </w:tr>
    </w:tbl>
    <w:p w14:paraId="27613591">
      <w:pPr>
        <w:pStyle w:val="45"/>
        <w:jc w:val="center"/>
        <w:rPr>
          <w:rFonts w:hint="eastAsia" w:ascii="仿宋" w:hAnsi="仿宋" w:eastAsia="仿宋" w:cs="仿宋"/>
          <w:b/>
          <w:bCs/>
          <w:color w:val="auto"/>
          <w:sz w:val="56"/>
          <w:szCs w:val="56"/>
          <w:highlight w:val="none"/>
          <w:lang w:eastAsia="zh-CN"/>
        </w:rPr>
      </w:pPr>
    </w:p>
    <w:p w14:paraId="034D62A4">
      <w:pPr>
        <w:spacing w:line="400" w:lineRule="exact"/>
        <w:jc w:val="center"/>
        <w:rPr>
          <w:rFonts w:hint="eastAsia" w:ascii="仿宋" w:hAnsi="仿宋" w:eastAsia="仿宋" w:cs="仿宋"/>
          <w:b/>
          <w:bCs/>
          <w:color w:val="auto"/>
          <w:sz w:val="36"/>
          <w:highlight w:val="none"/>
        </w:rPr>
      </w:pPr>
    </w:p>
    <w:p w14:paraId="06507DE4">
      <w:pPr>
        <w:spacing w:line="400" w:lineRule="exact"/>
        <w:jc w:val="center"/>
        <w:rPr>
          <w:rFonts w:hint="eastAsia" w:ascii="仿宋" w:hAnsi="仿宋" w:eastAsia="仿宋" w:cs="仿宋"/>
          <w:b/>
          <w:bCs/>
          <w:color w:val="auto"/>
          <w:sz w:val="36"/>
          <w:highlight w:val="none"/>
        </w:rPr>
      </w:pPr>
    </w:p>
    <w:p w14:paraId="72AD3718">
      <w:pPr>
        <w:spacing w:line="400" w:lineRule="exact"/>
        <w:jc w:val="center"/>
        <w:rPr>
          <w:rFonts w:hint="eastAsia" w:ascii="仿宋" w:hAnsi="仿宋" w:eastAsia="仿宋" w:cs="仿宋"/>
          <w:b/>
          <w:bCs/>
          <w:color w:val="auto"/>
          <w:sz w:val="36"/>
          <w:highlight w:val="none"/>
        </w:rPr>
      </w:pPr>
    </w:p>
    <w:p w14:paraId="2EF408AE">
      <w:pPr>
        <w:spacing w:line="400" w:lineRule="exact"/>
        <w:jc w:val="center"/>
        <w:rPr>
          <w:rFonts w:hint="eastAsia" w:ascii="仿宋" w:hAnsi="仿宋" w:eastAsia="仿宋" w:cs="仿宋"/>
          <w:b/>
          <w:bCs/>
          <w:color w:val="auto"/>
          <w:sz w:val="36"/>
          <w:highlight w:val="none"/>
        </w:rPr>
      </w:pPr>
    </w:p>
    <w:p w14:paraId="5EB254A0">
      <w:pPr>
        <w:spacing w:line="400" w:lineRule="exact"/>
        <w:jc w:val="center"/>
        <w:rPr>
          <w:rFonts w:hint="eastAsia" w:ascii="仿宋" w:hAnsi="仿宋" w:eastAsia="仿宋" w:cs="仿宋"/>
          <w:b/>
          <w:bCs/>
          <w:color w:val="auto"/>
          <w:sz w:val="36"/>
          <w:highlight w:val="none"/>
        </w:rPr>
      </w:pPr>
    </w:p>
    <w:p w14:paraId="6C0D4BCE">
      <w:pPr>
        <w:spacing w:line="400" w:lineRule="exact"/>
        <w:jc w:val="center"/>
        <w:rPr>
          <w:rFonts w:hint="eastAsia" w:ascii="仿宋" w:hAnsi="仿宋" w:eastAsia="仿宋" w:cs="仿宋"/>
          <w:b/>
          <w:bCs/>
          <w:color w:val="auto"/>
          <w:sz w:val="36"/>
          <w:highlight w:val="none"/>
        </w:rPr>
      </w:pPr>
    </w:p>
    <w:p w14:paraId="465976C9">
      <w:pPr>
        <w:spacing w:line="400" w:lineRule="exact"/>
        <w:jc w:val="center"/>
        <w:rPr>
          <w:rFonts w:hint="eastAsia" w:ascii="仿宋" w:hAnsi="仿宋" w:eastAsia="仿宋" w:cs="仿宋"/>
          <w:b/>
          <w:bCs/>
          <w:color w:val="auto"/>
          <w:sz w:val="36"/>
          <w:highlight w:val="none"/>
        </w:rPr>
      </w:pPr>
    </w:p>
    <w:p w14:paraId="3A55640B">
      <w:pPr>
        <w:spacing w:line="400" w:lineRule="exact"/>
        <w:jc w:val="center"/>
        <w:rPr>
          <w:rFonts w:hint="eastAsia" w:ascii="仿宋" w:hAnsi="仿宋" w:eastAsia="仿宋" w:cs="仿宋"/>
          <w:b/>
          <w:bCs/>
          <w:color w:val="auto"/>
          <w:sz w:val="36"/>
          <w:highlight w:val="none"/>
        </w:rPr>
      </w:pPr>
    </w:p>
    <w:p w14:paraId="5BBC1BF5">
      <w:pPr>
        <w:spacing w:line="400" w:lineRule="exact"/>
        <w:jc w:val="center"/>
        <w:rPr>
          <w:rFonts w:hint="eastAsia" w:ascii="仿宋" w:hAnsi="仿宋" w:eastAsia="仿宋" w:cs="仿宋"/>
          <w:b/>
          <w:bCs/>
          <w:color w:val="auto"/>
          <w:sz w:val="36"/>
          <w:highlight w:val="none"/>
        </w:rPr>
      </w:pPr>
    </w:p>
    <w:p w14:paraId="6C36AEA5">
      <w:pPr>
        <w:spacing w:line="400" w:lineRule="exact"/>
        <w:jc w:val="center"/>
        <w:rPr>
          <w:rFonts w:hint="eastAsia" w:ascii="仿宋" w:hAnsi="仿宋" w:eastAsia="仿宋" w:cs="仿宋"/>
          <w:b/>
          <w:bCs/>
          <w:color w:val="auto"/>
          <w:sz w:val="36"/>
          <w:highlight w:val="none"/>
        </w:rPr>
      </w:pPr>
    </w:p>
    <w:p w14:paraId="354A4F59">
      <w:pPr>
        <w:spacing w:line="400" w:lineRule="exact"/>
        <w:jc w:val="center"/>
        <w:rPr>
          <w:rFonts w:hint="eastAsia" w:ascii="仿宋" w:hAnsi="仿宋" w:eastAsia="仿宋" w:cs="仿宋"/>
          <w:b/>
          <w:bCs/>
          <w:color w:val="auto"/>
          <w:sz w:val="36"/>
          <w:highlight w:val="none"/>
        </w:rPr>
      </w:pPr>
    </w:p>
    <w:p w14:paraId="32C5C0AD">
      <w:pPr>
        <w:spacing w:line="400" w:lineRule="exact"/>
        <w:jc w:val="center"/>
        <w:rPr>
          <w:rFonts w:hint="eastAsia" w:ascii="仿宋" w:hAnsi="仿宋" w:eastAsia="仿宋" w:cs="仿宋"/>
          <w:b/>
          <w:bCs/>
          <w:color w:val="auto"/>
          <w:sz w:val="36"/>
          <w:highlight w:val="none"/>
        </w:rPr>
      </w:pPr>
    </w:p>
    <w:p w14:paraId="5AF7FEDC">
      <w:pPr>
        <w:spacing w:line="400" w:lineRule="exact"/>
        <w:jc w:val="center"/>
        <w:rPr>
          <w:rFonts w:hint="eastAsia" w:ascii="仿宋" w:hAnsi="仿宋" w:eastAsia="仿宋" w:cs="仿宋"/>
          <w:b/>
          <w:bCs/>
          <w:color w:val="auto"/>
          <w:sz w:val="36"/>
          <w:highlight w:val="none"/>
        </w:rPr>
        <w:sectPr>
          <w:headerReference r:id="rId4" w:type="first"/>
          <w:footerReference r:id="rId7" w:type="first"/>
          <w:footerReference r:id="rId5" w:type="default"/>
          <w:headerReference r:id="rId3" w:type="even"/>
          <w:footerReference r:id="rId6" w:type="even"/>
          <w:pgSz w:w="11906" w:h="16838"/>
          <w:pgMar w:top="720" w:right="720" w:bottom="720" w:left="720" w:header="851" w:footer="907" w:gutter="0"/>
          <w:pgNumType w:start="1"/>
          <w:cols w:space="720" w:num="1"/>
          <w:titlePg/>
          <w:docGrid w:linePitch="312" w:charSpace="0"/>
        </w:sectPr>
      </w:pPr>
    </w:p>
    <w:p w14:paraId="2286472B">
      <w:pPr>
        <w:spacing w:line="24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p>
    <w:p w14:paraId="3F7CADCD">
      <w:pPr>
        <w:pStyle w:val="18"/>
        <w:tabs>
          <w:tab w:val="right" w:leader="dot" w:pos="9736"/>
        </w:tabs>
        <w:spacing w:line="360" w:lineRule="auto"/>
        <w:jc w:val="center"/>
        <w:rPr>
          <w:rFonts w:hint="eastAsia" w:ascii="仿宋" w:hAnsi="仿宋" w:eastAsia="仿宋" w:cs="仿宋"/>
          <w:color w:val="auto"/>
          <w:szCs w:val="21"/>
          <w:highlight w:val="none"/>
        </w:rPr>
      </w:pPr>
    </w:p>
    <w:p w14:paraId="02099C4E">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_Toc20306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rPr>
        <w:t xml:space="preserve">第一章 </w:t>
      </w:r>
      <w:r>
        <w:rPr>
          <w:rFonts w:hint="eastAsia" w:ascii="仿宋" w:hAnsi="仿宋" w:eastAsia="仿宋" w:cs="仿宋"/>
          <w:kern w:val="0"/>
          <w:sz w:val="28"/>
          <w:szCs w:val="28"/>
          <w:highlight w:val="none"/>
          <w:lang w:eastAsia="zh-CN"/>
        </w:rPr>
        <w:t>竞争性磋商</w:t>
      </w:r>
      <w:r>
        <w:rPr>
          <w:rFonts w:hint="eastAsia" w:ascii="仿宋" w:hAnsi="仿宋" w:eastAsia="仿宋" w:cs="仿宋"/>
          <w:kern w:val="0"/>
          <w:sz w:val="28"/>
          <w:szCs w:val="28"/>
          <w:highlight w:val="none"/>
        </w:rPr>
        <w:t>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_Toc20306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0EC0818F">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_Toc12615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_Toc12615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2CB4E21E">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_Toc27510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第三章 </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办法（综合评分法）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_Toc27510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0C0AD558">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_Toc4902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_Toc4902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30</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4DE50BDE">
      <w:pPr>
        <w:pStyle w:val="18"/>
        <w:tabs>
          <w:tab w:val="right" w:leader="dot" w:pos="10466"/>
        </w:tabs>
        <w:spacing w:line="480" w:lineRule="auto"/>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_Toc9936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第五章</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US" w:eastAsia="zh-CN"/>
        </w:rPr>
        <w:t>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_Toc9936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53</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5BB8A13">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_Toc10351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zh-CN" w:eastAsia="zh-CN" w:bidi="ar-SA"/>
        </w:rPr>
        <w:t>第</w:t>
      </w:r>
      <w:r>
        <w:rPr>
          <w:rFonts w:hint="eastAsia" w:ascii="仿宋" w:hAnsi="仿宋" w:eastAsia="仿宋" w:cs="仿宋"/>
          <w:bCs/>
          <w:kern w:val="2"/>
          <w:sz w:val="28"/>
          <w:szCs w:val="28"/>
          <w:highlight w:val="none"/>
          <w:lang w:val="en-US" w:eastAsia="zh-CN" w:bidi="ar-SA"/>
        </w:rPr>
        <w:t>六</w:t>
      </w:r>
      <w:r>
        <w:rPr>
          <w:rFonts w:hint="eastAsia" w:ascii="仿宋" w:hAnsi="仿宋" w:eastAsia="仿宋" w:cs="仿宋"/>
          <w:bCs/>
          <w:kern w:val="2"/>
          <w:sz w:val="28"/>
          <w:szCs w:val="28"/>
          <w:highlight w:val="none"/>
          <w:lang w:val="zh-CN" w:eastAsia="zh-CN" w:bidi="ar-SA"/>
        </w:rPr>
        <w:t>章</w:t>
      </w:r>
      <w:r>
        <w:rPr>
          <w:rFonts w:hint="eastAsia" w:ascii="仿宋" w:hAnsi="仿宋" w:eastAsia="仿宋" w:cs="仿宋"/>
          <w:bCs/>
          <w:kern w:val="2"/>
          <w:sz w:val="28"/>
          <w:szCs w:val="28"/>
          <w:highlight w:val="none"/>
          <w:lang w:val="en-US" w:eastAsia="zh-CN" w:bidi="ar-SA"/>
        </w:rPr>
        <w:t xml:space="preserve">  图纸（另附）</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_Toc10351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54</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0E2BD839">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_Toc18139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zh-CN" w:eastAsia="zh-CN" w:bidi="ar-SA"/>
        </w:rPr>
        <w:t>第</w:t>
      </w:r>
      <w:r>
        <w:rPr>
          <w:rFonts w:hint="eastAsia" w:ascii="仿宋" w:hAnsi="仿宋" w:eastAsia="仿宋" w:cs="仿宋"/>
          <w:bCs/>
          <w:kern w:val="2"/>
          <w:sz w:val="28"/>
          <w:szCs w:val="28"/>
          <w:highlight w:val="none"/>
          <w:lang w:val="en-US" w:eastAsia="zh-CN" w:bidi="ar-SA"/>
        </w:rPr>
        <w:t>七</w:t>
      </w:r>
      <w:r>
        <w:rPr>
          <w:rFonts w:hint="eastAsia" w:ascii="仿宋" w:hAnsi="仿宋" w:eastAsia="仿宋" w:cs="仿宋"/>
          <w:bCs/>
          <w:kern w:val="2"/>
          <w:sz w:val="28"/>
          <w:szCs w:val="28"/>
          <w:highlight w:val="none"/>
          <w:lang w:val="zh-CN" w:eastAsia="zh-CN" w:bidi="ar-SA"/>
        </w:rPr>
        <w:t>章</w:t>
      </w:r>
      <w:r>
        <w:rPr>
          <w:rFonts w:hint="eastAsia" w:ascii="仿宋" w:hAnsi="仿宋" w:eastAsia="仿宋" w:cs="仿宋"/>
          <w:bCs/>
          <w:kern w:val="2"/>
          <w:sz w:val="28"/>
          <w:szCs w:val="28"/>
          <w:highlight w:val="none"/>
          <w:lang w:val="en-US" w:eastAsia="zh-CN" w:bidi="ar-SA"/>
        </w:rPr>
        <w:t xml:space="preserve"> </w:t>
      </w:r>
      <w:r>
        <w:rPr>
          <w:rFonts w:hint="eastAsia" w:ascii="仿宋" w:hAnsi="仿宋" w:eastAsia="仿宋" w:cs="仿宋"/>
          <w:bCs/>
          <w:kern w:val="2"/>
          <w:sz w:val="28"/>
          <w:szCs w:val="28"/>
          <w:highlight w:val="none"/>
          <w:lang w:val="zh-CN" w:eastAsia="zh-CN" w:bidi="ar-SA"/>
        </w:rPr>
        <w:t>技术标准和要求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_Toc18139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55</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6298473">
      <w:pPr>
        <w:pStyle w:val="18"/>
        <w:tabs>
          <w:tab w:val="right" w:leader="dot" w:pos="10466"/>
        </w:tabs>
        <w:spacing w:line="48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_Toc3310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八</w:t>
      </w:r>
      <w:r>
        <w:rPr>
          <w:rFonts w:hint="eastAsia" w:ascii="仿宋" w:hAnsi="仿宋" w:eastAsia="仿宋" w:cs="仿宋"/>
          <w:bCs/>
          <w:sz w:val="28"/>
          <w:szCs w:val="28"/>
          <w:highlight w:val="none"/>
        </w:rPr>
        <w:t xml:space="preserve">章  </w:t>
      </w:r>
      <w:r>
        <w:rPr>
          <w:rFonts w:hint="eastAsia" w:ascii="仿宋" w:hAnsi="仿宋" w:eastAsia="仿宋" w:cs="仿宋"/>
          <w:bCs/>
          <w:sz w:val="28"/>
          <w:szCs w:val="28"/>
          <w:highlight w:val="none"/>
          <w:lang w:eastAsia="zh-CN"/>
        </w:rPr>
        <w:t>响应文件</w:t>
      </w:r>
      <w:r>
        <w:rPr>
          <w:rFonts w:hint="eastAsia" w:ascii="仿宋" w:hAnsi="仿宋" w:eastAsia="仿宋" w:cs="仿宋"/>
          <w:bCs/>
          <w:sz w:val="28"/>
          <w:szCs w:val="28"/>
          <w:highlight w:val="none"/>
        </w:rPr>
        <w:t>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_Toc3310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56</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4C4FB13D">
      <w:pPr>
        <w:pStyle w:val="45"/>
        <w:spacing w:line="480" w:lineRule="auto"/>
        <w:jc w:val="center"/>
        <w:rPr>
          <w:rFonts w:hint="eastAsia" w:ascii="仿宋" w:hAnsi="仿宋" w:eastAsia="仿宋" w:cs="仿宋"/>
          <w:color w:val="auto"/>
          <w:highlight w:val="none"/>
          <w:lang w:val="zh-CN"/>
        </w:rPr>
        <w:sectPr>
          <w:footerReference r:id="rId9" w:type="first"/>
          <w:footerReference r:id="rId8" w:type="default"/>
          <w:pgSz w:w="11906" w:h="16838"/>
          <w:pgMar w:top="1287" w:right="1191" w:bottom="1287" w:left="1077" w:header="851" w:footer="907" w:gutter="0"/>
          <w:pgNumType w:fmt="decimal" w:start="1"/>
          <w:cols w:space="720" w:num="1"/>
          <w:titlePg/>
          <w:docGrid w:linePitch="312" w:charSpace="0"/>
        </w:sectPr>
      </w:pPr>
      <w:r>
        <w:rPr>
          <w:rFonts w:hint="eastAsia" w:ascii="仿宋" w:hAnsi="仿宋" w:eastAsia="仿宋" w:cs="仿宋"/>
          <w:color w:val="auto"/>
          <w:sz w:val="28"/>
          <w:szCs w:val="28"/>
          <w:highlight w:val="none"/>
        </w:rPr>
        <w:fldChar w:fldCharType="end"/>
      </w:r>
      <w:r>
        <w:rPr>
          <w:rFonts w:hint="eastAsia" w:ascii="仿宋" w:hAnsi="仿宋" w:eastAsia="仿宋" w:cs="仿宋"/>
          <w:color w:val="auto"/>
          <w:highlight w:val="none"/>
          <w:lang w:val="zh-CN"/>
        </w:rPr>
        <w:tab/>
      </w:r>
    </w:p>
    <w:p w14:paraId="04E224E8">
      <w:pPr>
        <w:pStyle w:val="3"/>
        <w:numPr>
          <w:ilvl w:val="0"/>
          <w:numId w:val="1"/>
        </w:numPr>
        <w:snapToGrid w:val="0"/>
        <w:spacing w:before="0" w:after="0"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bookmarkStart w:id="0" w:name="_Toc10576"/>
      <w:bookmarkStart w:id="1" w:name="_Toc9300"/>
      <w:bookmarkStart w:id="2" w:name="_Toc11585"/>
      <w:bookmarkStart w:id="3" w:name="_Toc16186"/>
      <w:bookmarkStart w:id="4" w:name="_Toc20306"/>
      <w:bookmarkStart w:id="5" w:name="_Toc5288"/>
      <w:r>
        <w:rPr>
          <w:rFonts w:hint="eastAsia" w:ascii="仿宋" w:hAnsi="仿宋" w:eastAsia="仿宋" w:cs="仿宋"/>
          <w:color w:val="auto"/>
          <w:kern w:val="0"/>
          <w:sz w:val="32"/>
          <w:szCs w:val="32"/>
          <w:highlight w:val="none"/>
          <w:lang w:eastAsia="zh-CN"/>
        </w:rPr>
        <w:t>竞争性磋商</w:t>
      </w:r>
      <w:r>
        <w:rPr>
          <w:rFonts w:hint="eastAsia" w:ascii="仿宋" w:hAnsi="仿宋" w:eastAsia="仿宋" w:cs="仿宋"/>
          <w:color w:val="auto"/>
          <w:kern w:val="0"/>
          <w:sz w:val="32"/>
          <w:szCs w:val="32"/>
          <w:highlight w:val="none"/>
        </w:rPr>
        <w:t>公告</w:t>
      </w:r>
      <w:bookmarkEnd w:id="0"/>
      <w:bookmarkEnd w:id="1"/>
      <w:bookmarkEnd w:id="2"/>
      <w:bookmarkEnd w:id="3"/>
      <w:bookmarkEnd w:id="4"/>
      <w:bookmarkEnd w:id="5"/>
    </w:p>
    <w:p w14:paraId="49296EFD">
      <w:pPr>
        <w:pStyle w:val="25"/>
        <w:keepNext w:val="0"/>
        <w:keepLines w:val="0"/>
        <w:pageBreakBefore w:val="0"/>
        <w:kinsoku/>
        <w:wordWrap/>
        <w:overflowPunct/>
        <w:topLinePunct w:val="0"/>
        <w:autoSpaceDE/>
        <w:autoSpaceDN/>
        <w:bidi w:val="0"/>
        <w:spacing w:after="0" w:afterLines="0" w:line="500" w:lineRule="exact"/>
        <w:ind w:firstLine="241"/>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荥阳市交通运输局荥阳市2025年普通国省道穿村过镇</w:t>
      </w:r>
    </w:p>
    <w:p w14:paraId="40F208AD">
      <w:pPr>
        <w:pStyle w:val="25"/>
        <w:keepNext w:val="0"/>
        <w:keepLines w:val="0"/>
        <w:pageBreakBefore w:val="0"/>
        <w:kinsoku/>
        <w:wordWrap/>
        <w:overflowPunct/>
        <w:topLinePunct w:val="0"/>
        <w:autoSpaceDE/>
        <w:autoSpaceDN/>
        <w:bidi w:val="0"/>
        <w:spacing w:after="0" w:afterLines="0" w:line="500" w:lineRule="exact"/>
        <w:ind w:firstLine="241"/>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平交路口治理项目-</w:t>
      </w:r>
      <w:r>
        <w:rPr>
          <w:rFonts w:hint="eastAsia" w:ascii="仿宋" w:hAnsi="仿宋" w:eastAsia="仿宋" w:cs="仿宋"/>
          <w:b/>
          <w:bCs/>
          <w:color w:val="auto"/>
          <w:sz w:val="28"/>
          <w:szCs w:val="28"/>
          <w:highlight w:val="none"/>
        </w:rPr>
        <w:t>竞争性磋商公告</w:t>
      </w:r>
    </w:p>
    <w:p w14:paraId="39CA8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highlight w:val="none"/>
          <w:lang w:val="en-US" w:eastAsia="zh-CN"/>
        </w:rPr>
      </w:pPr>
      <w:bookmarkStart w:id="6" w:name="_Toc6586678"/>
      <w:bookmarkStart w:id="7" w:name="_Toc21970"/>
      <w:bookmarkStart w:id="8" w:name="_Toc152042303"/>
      <w:bookmarkStart w:id="9" w:name="_Toc152045527"/>
      <w:bookmarkStart w:id="10" w:name="_Toc144974495"/>
      <w:r>
        <w:rPr>
          <w:rFonts w:hint="eastAsia" w:ascii="仿宋" w:hAnsi="仿宋" w:eastAsia="仿宋" w:cs="仿宋"/>
          <w:b/>
          <w:bCs/>
          <w:color w:val="auto"/>
          <w:sz w:val="24"/>
          <w:szCs w:val="24"/>
          <w:highlight w:val="none"/>
          <w:lang w:val="en-US" w:eastAsia="zh-CN"/>
        </w:rPr>
        <w:t>项目概况</w:t>
      </w:r>
    </w:p>
    <w:p w14:paraId="731D36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仿宋" w:hAnsi="仿宋" w:eastAsia="仿宋" w:cs="仿宋"/>
          <w:color w:val="auto"/>
          <w:sz w:val="24"/>
          <w:szCs w:val="24"/>
          <w:highlight w:val="none"/>
          <w:u w:val="none"/>
          <w:lang w:val="en-US" w:eastAsia="zh-CN"/>
        </w:rPr>
      </w:pPr>
      <w:bookmarkStart w:id="11" w:name="_Toc7697"/>
      <w:bookmarkStart w:id="12" w:name="_Toc21667"/>
      <w:bookmarkStart w:id="13" w:name="_Toc23437"/>
      <w:r>
        <w:rPr>
          <w:rFonts w:hint="eastAsia" w:ascii="仿宋" w:hAnsi="仿宋" w:eastAsia="仿宋" w:cs="仿宋"/>
          <w:color w:val="auto"/>
          <w:sz w:val="24"/>
          <w:szCs w:val="24"/>
          <w:highlight w:val="none"/>
          <w:u w:val="none"/>
          <w:lang w:val="en-US" w:eastAsia="zh-CN"/>
        </w:rPr>
        <w:t>荥阳市交通运输局荥阳市2025年普通国省道穿村过镇平交路口治理项目招标项目的潜在投标人应在荥阳市公共资源交易平台获取招标文件，并于2025年11月27日09时00分（北京时间）前递交响应文件。</w:t>
      </w:r>
      <w:bookmarkEnd w:id="11"/>
    </w:p>
    <w:p w14:paraId="1C15D28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b/>
          <w:bCs/>
          <w:color w:val="auto"/>
          <w:sz w:val="24"/>
          <w:szCs w:val="24"/>
          <w:highlight w:val="none"/>
          <w:lang w:val="en-US" w:eastAsia="zh-CN"/>
        </w:rPr>
      </w:pPr>
      <w:bookmarkStart w:id="14" w:name="_Toc32525"/>
      <w:r>
        <w:rPr>
          <w:rFonts w:hint="eastAsia" w:ascii="仿宋" w:hAnsi="仿宋" w:eastAsia="仿宋" w:cs="仿宋"/>
          <w:b/>
          <w:bCs/>
          <w:color w:val="auto"/>
          <w:sz w:val="24"/>
          <w:szCs w:val="24"/>
          <w:highlight w:val="none"/>
          <w:lang w:val="en-US" w:eastAsia="zh-CN"/>
        </w:rPr>
        <w:t>一、项目基本情况</w:t>
      </w:r>
      <w:bookmarkEnd w:id="12"/>
      <w:bookmarkEnd w:id="13"/>
      <w:bookmarkEnd w:id="14"/>
    </w:p>
    <w:p w14:paraId="468FBD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1、项目编号：荥财磋商-2025-54</w:t>
      </w:r>
    </w:p>
    <w:p w14:paraId="415CC2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2、项目名称：荥阳市交通运输局荥阳市2025年普通国省道穿村过镇平交路口治理项目</w:t>
      </w:r>
    </w:p>
    <w:p w14:paraId="7224EE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3、采购方式：竞争性磋商</w:t>
      </w:r>
    </w:p>
    <w:p w14:paraId="2CC609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4、预算金额：725370.00</w:t>
      </w:r>
      <w:r>
        <w:rPr>
          <w:rFonts w:hint="eastAsia" w:ascii="仿宋" w:hAnsi="仿宋" w:eastAsia="仿宋" w:cs="仿宋"/>
          <w:color w:val="auto"/>
          <w:sz w:val="24"/>
          <w:szCs w:val="24"/>
          <w:highlight w:val="none"/>
          <w:lang w:val="zh-CN" w:eastAsia="zh-CN"/>
        </w:rPr>
        <w:t>元；</w:t>
      </w:r>
    </w:p>
    <w:p w14:paraId="2BE34EA0">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最高限价：</w:t>
      </w:r>
      <w:r>
        <w:rPr>
          <w:rFonts w:hint="eastAsia" w:ascii="仿宋" w:hAnsi="仿宋" w:eastAsia="仿宋" w:cs="仿宋"/>
          <w:color w:val="auto"/>
          <w:sz w:val="24"/>
          <w:szCs w:val="24"/>
          <w:highlight w:val="none"/>
          <w:lang w:val="en-US" w:eastAsia="zh-CN"/>
        </w:rPr>
        <w:t>725370.00</w:t>
      </w:r>
      <w:r>
        <w:rPr>
          <w:rFonts w:hint="eastAsia" w:ascii="仿宋" w:hAnsi="仿宋" w:eastAsia="仿宋" w:cs="仿宋"/>
          <w:color w:val="auto"/>
          <w:sz w:val="24"/>
          <w:szCs w:val="24"/>
          <w:highlight w:val="none"/>
          <w:lang w:val="zh-CN" w:eastAsia="zh-CN"/>
        </w:rPr>
        <w:t>元；</w:t>
      </w:r>
    </w:p>
    <w:tbl>
      <w:tblPr>
        <w:tblStyle w:val="27"/>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52"/>
        <w:gridCol w:w="2559"/>
        <w:gridCol w:w="1285"/>
        <w:gridCol w:w="1466"/>
        <w:gridCol w:w="1463"/>
        <w:gridCol w:w="1690"/>
      </w:tblGrid>
      <w:tr w14:paraId="241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0" w:type="dxa"/>
            <w:noWrap w:val="0"/>
            <w:vAlign w:val="center"/>
          </w:tcPr>
          <w:p w14:paraId="350D98ED">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序号</w:t>
            </w:r>
          </w:p>
        </w:tc>
        <w:tc>
          <w:tcPr>
            <w:tcW w:w="1352" w:type="dxa"/>
            <w:noWrap w:val="0"/>
            <w:vAlign w:val="center"/>
          </w:tcPr>
          <w:p w14:paraId="59D3D89B">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包号</w:t>
            </w:r>
          </w:p>
        </w:tc>
        <w:tc>
          <w:tcPr>
            <w:tcW w:w="2559" w:type="dxa"/>
            <w:noWrap w:val="0"/>
            <w:vAlign w:val="center"/>
          </w:tcPr>
          <w:p w14:paraId="0205A050">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包名称</w:t>
            </w:r>
          </w:p>
        </w:tc>
        <w:tc>
          <w:tcPr>
            <w:tcW w:w="1285" w:type="dxa"/>
            <w:noWrap w:val="0"/>
            <w:vAlign w:val="center"/>
          </w:tcPr>
          <w:p w14:paraId="62C28643">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包预算</w:t>
            </w:r>
          </w:p>
          <w:p w14:paraId="34F7760B">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（元）</w:t>
            </w:r>
          </w:p>
        </w:tc>
        <w:tc>
          <w:tcPr>
            <w:tcW w:w="1466" w:type="dxa"/>
            <w:noWrap w:val="0"/>
            <w:vAlign w:val="center"/>
          </w:tcPr>
          <w:p w14:paraId="187A6899">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包最高限价（元）</w:t>
            </w:r>
          </w:p>
        </w:tc>
        <w:tc>
          <w:tcPr>
            <w:tcW w:w="1463" w:type="dxa"/>
            <w:noWrap w:val="0"/>
            <w:vAlign w:val="center"/>
          </w:tcPr>
          <w:p w14:paraId="48B503C3">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是否专门面向中小企业</w:t>
            </w:r>
          </w:p>
        </w:tc>
        <w:tc>
          <w:tcPr>
            <w:tcW w:w="1690" w:type="dxa"/>
            <w:noWrap w:val="0"/>
            <w:vAlign w:val="center"/>
          </w:tcPr>
          <w:p w14:paraId="2DEECFAF">
            <w:pPr>
              <w:pStyle w:val="23"/>
              <w:keepNext w:val="0"/>
              <w:keepLines w:val="0"/>
              <w:pageBreakBefore w:val="0"/>
              <w:kinsoku/>
              <w:wordWrap/>
              <w:overflowPunct/>
              <w:topLinePunct w:val="0"/>
              <w:autoSpaceDE/>
              <w:autoSpaceDN/>
              <w:bidi w:val="0"/>
              <w:adjustRightInd/>
              <w:snapToGrid w:val="0"/>
              <w:spacing w:before="0" w:after="0" w:line="32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采购预留金额（元）</w:t>
            </w:r>
          </w:p>
        </w:tc>
      </w:tr>
      <w:tr w14:paraId="0BF5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80" w:type="dxa"/>
            <w:noWrap w:val="0"/>
            <w:vAlign w:val="center"/>
          </w:tcPr>
          <w:p w14:paraId="4B7000C2">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p>
        </w:tc>
        <w:tc>
          <w:tcPr>
            <w:tcW w:w="1352" w:type="dxa"/>
            <w:noWrap w:val="0"/>
            <w:vAlign w:val="center"/>
          </w:tcPr>
          <w:p w14:paraId="37E2DB0A">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荥财磋商-202</w:t>
            </w:r>
            <w:r>
              <w:rPr>
                <w:rFonts w:hint="eastAsia" w:ascii="仿宋" w:hAnsi="仿宋" w:eastAsia="仿宋" w:cs="仿宋"/>
                <w:color w:val="auto"/>
                <w:sz w:val="21"/>
                <w:szCs w:val="21"/>
                <w:highlight w:val="none"/>
                <w:lang w:val="en-US" w:eastAsia="zh-CN"/>
              </w:rPr>
              <w:t>4-54</w:t>
            </w:r>
          </w:p>
        </w:tc>
        <w:tc>
          <w:tcPr>
            <w:tcW w:w="2559" w:type="dxa"/>
            <w:noWrap w:val="0"/>
            <w:vAlign w:val="center"/>
          </w:tcPr>
          <w:p w14:paraId="3EC38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荥阳市交通运输局荥阳市2025年普通国省道穿村过镇平交路口治理项目</w:t>
            </w:r>
          </w:p>
        </w:tc>
        <w:tc>
          <w:tcPr>
            <w:tcW w:w="1285" w:type="dxa"/>
            <w:noWrap w:val="0"/>
            <w:vAlign w:val="center"/>
          </w:tcPr>
          <w:p w14:paraId="14484EF5">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default" w:ascii="仿宋" w:hAnsi="仿宋" w:eastAsia="仿宋" w:cs="仿宋"/>
                <w:bCs/>
                <w:color w:val="auto"/>
                <w:kern w:val="2"/>
                <w:sz w:val="21"/>
                <w:szCs w:val="21"/>
                <w:highlight w:val="none"/>
                <w:lang w:val="en-US" w:eastAsia="zh-CN" w:bidi="ar-SA"/>
              </w:rPr>
              <w:t>725370.00</w:t>
            </w:r>
          </w:p>
        </w:tc>
        <w:tc>
          <w:tcPr>
            <w:tcW w:w="1466" w:type="dxa"/>
            <w:noWrap w:val="0"/>
            <w:vAlign w:val="center"/>
          </w:tcPr>
          <w:p w14:paraId="52EDACE0">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725370.00</w:t>
            </w:r>
          </w:p>
        </w:tc>
        <w:tc>
          <w:tcPr>
            <w:tcW w:w="1463" w:type="dxa"/>
            <w:noWrap w:val="0"/>
            <w:vAlign w:val="center"/>
          </w:tcPr>
          <w:p w14:paraId="1B4DDAB8">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是</w:t>
            </w:r>
          </w:p>
        </w:tc>
        <w:tc>
          <w:tcPr>
            <w:tcW w:w="1690" w:type="dxa"/>
            <w:noWrap w:val="0"/>
            <w:vAlign w:val="center"/>
          </w:tcPr>
          <w:p w14:paraId="023951FC">
            <w:pPr>
              <w:pStyle w:val="23"/>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725370.00</w:t>
            </w:r>
          </w:p>
        </w:tc>
      </w:tr>
    </w:tbl>
    <w:p w14:paraId="17143D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5、采购需求（包括但不限于标的的名称、数量、简要技术需求或服务要求等）</w:t>
      </w:r>
    </w:p>
    <w:p w14:paraId="3E86A7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5.1项目概况：荥阳市2025年普通国省道穿村过镇平交路口治理项目共涉及S104、S312、S232、S233、S314、S315、G234、老G310八条国省道，共43个路口，其中39个一般路口、4个伤亡路口，建设内容主要包含标志、标线、道口标柱、通视三角区障碍物清除、减速带、LED警示装置、黄闪灯、道路预警设施，路面修复等。</w:t>
      </w:r>
    </w:p>
    <w:p w14:paraId="15EF37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5.2采购内容：施工图纸及工程量清单和磋商文件范围内的全部内容。</w:t>
      </w:r>
    </w:p>
    <w:p w14:paraId="6C1C4B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5.3资金来源：财政资金（上级补助和地方政府自筹）。</w:t>
      </w:r>
    </w:p>
    <w:p w14:paraId="53280F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5.4质量标准：符合国家现行相关标准和规范要求，达到合格标准。</w:t>
      </w:r>
    </w:p>
    <w:p w14:paraId="789EB2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5.5工期：30日历天内完成并交付使用。</w:t>
      </w:r>
    </w:p>
    <w:p w14:paraId="19D2CC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5.6质保期：一年</w:t>
      </w:r>
    </w:p>
    <w:p w14:paraId="620CF665">
      <w:pPr>
        <w:pStyle w:val="23"/>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5.7标段划分：本项目划分为1个标段。</w:t>
      </w:r>
    </w:p>
    <w:p w14:paraId="00DFF3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6、合同履行期限：30日历天内完成并交付使用。</w:t>
      </w:r>
    </w:p>
    <w:p w14:paraId="718CBC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7、本项目是否接受联合体投标：否</w:t>
      </w:r>
    </w:p>
    <w:p w14:paraId="0F40CA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8、是否接受进口产品：否</w:t>
      </w:r>
    </w:p>
    <w:p w14:paraId="1ADB0F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9、是否专门面向中小企业：是</w:t>
      </w:r>
    </w:p>
    <w:p w14:paraId="2E7670B5">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15" w:name="_Toc9571"/>
      <w:bookmarkStart w:id="16" w:name="_Toc29835"/>
      <w:bookmarkStart w:id="17" w:name="_Toc4756"/>
      <w:r>
        <w:rPr>
          <w:rFonts w:hint="eastAsia" w:ascii="仿宋" w:hAnsi="仿宋" w:eastAsia="仿宋" w:cs="仿宋"/>
          <w:b/>
          <w:bCs/>
          <w:color w:val="auto"/>
          <w:sz w:val="24"/>
          <w:szCs w:val="24"/>
          <w:highlight w:val="none"/>
          <w:lang w:val="en-US" w:eastAsia="zh-CN"/>
        </w:rPr>
        <w:t>二、申请人资格条件</w:t>
      </w:r>
      <w:r>
        <w:rPr>
          <w:rFonts w:hint="eastAsia" w:ascii="仿宋" w:hAnsi="仿宋" w:eastAsia="仿宋" w:cs="仿宋"/>
          <w:color w:val="auto"/>
          <w:sz w:val="24"/>
          <w:szCs w:val="24"/>
          <w:highlight w:val="none"/>
          <w:lang w:val="en-US" w:eastAsia="zh-CN"/>
        </w:rPr>
        <w:t>：</w:t>
      </w:r>
      <w:bookmarkEnd w:id="15"/>
      <w:bookmarkEnd w:id="16"/>
      <w:bookmarkEnd w:id="17"/>
    </w:p>
    <w:p w14:paraId="04C804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bookmarkStart w:id="18" w:name="_Toc29480"/>
      <w:bookmarkStart w:id="19" w:name="_Toc948"/>
      <w:bookmarkStart w:id="20" w:name="_Toc32427"/>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bookmarkEnd w:id="18"/>
      <w:bookmarkEnd w:id="19"/>
    </w:p>
    <w:p w14:paraId="25CCEC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1" w:name="_Toc11575"/>
      <w:bookmarkStart w:id="22" w:name="_Toc8705"/>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落实政府采购政策满足的资格要求：</w:t>
      </w:r>
      <w:r>
        <w:rPr>
          <w:rFonts w:hint="eastAsia" w:ascii="仿宋" w:hAnsi="仿宋" w:eastAsia="仿宋" w:cs="仿宋"/>
          <w:b w:val="0"/>
          <w:bCs w:val="0"/>
          <w:color w:val="auto"/>
          <w:sz w:val="24"/>
          <w:szCs w:val="24"/>
          <w:highlight w:val="none"/>
          <w:lang w:val="en-US" w:eastAsia="zh-CN"/>
        </w:rPr>
        <w:t>本项目属于专门面向中小企业采购的项目，即本项目承建企业应为中小微企业、监狱企业、残疾人福利性单位。</w:t>
      </w:r>
      <w:bookmarkEnd w:id="21"/>
    </w:p>
    <w:bookmarkEnd w:id="22"/>
    <w:p w14:paraId="4BC3C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bookmarkStart w:id="23" w:name="_Toc1112"/>
      <w:bookmarkStart w:id="24" w:name="_Toc31228"/>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本项目的特定资格要求</w:t>
      </w:r>
      <w:bookmarkEnd w:id="23"/>
      <w:bookmarkEnd w:id="24"/>
    </w:p>
    <w:p w14:paraId="2D7A46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5" w:name="_Toc13235"/>
      <w:bookmarkStart w:id="26" w:name="_Toc986"/>
      <w:r>
        <w:rPr>
          <w:rFonts w:hint="eastAsia" w:ascii="仿宋" w:hAnsi="仿宋" w:eastAsia="仿宋" w:cs="仿宋"/>
          <w:b w:val="0"/>
          <w:bCs w:val="0"/>
          <w:color w:val="auto"/>
          <w:sz w:val="24"/>
          <w:szCs w:val="24"/>
          <w:highlight w:val="none"/>
          <w:lang w:val="en-US" w:eastAsia="zh-CN"/>
        </w:rPr>
        <w:t>3.1供应商须具有公路工程施工总承包叁级及以上资质，具有有效的安全生产许可证，并在人员、设备、资金等方面具有相应的施工能力。</w:t>
      </w:r>
      <w:r>
        <w:rPr>
          <w:rFonts w:hint="eastAsia" w:ascii="仿宋" w:hAnsi="仿宋" w:eastAsia="仿宋" w:cs="仿宋"/>
          <w:b w:val="0"/>
          <w:bCs w:val="0"/>
          <w:color w:val="auto"/>
          <w:sz w:val="24"/>
          <w:szCs w:val="24"/>
          <w:highlight w:val="none"/>
          <w:lang w:val="en-US" w:eastAsia="zh-CN"/>
        </w:rPr>
        <w:br w:type="textWrapping"/>
      </w:r>
      <w:r>
        <w:rPr>
          <w:rFonts w:hint="eastAsia" w:ascii="仿宋" w:hAnsi="仿宋" w:eastAsia="仿宋" w:cs="仿宋"/>
          <w:b w:val="0"/>
          <w:bCs w:val="0"/>
          <w:color w:val="auto"/>
          <w:sz w:val="24"/>
          <w:szCs w:val="24"/>
          <w:highlight w:val="none"/>
          <w:lang w:val="en-US" w:eastAsia="zh-CN"/>
        </w:rPr>
        <w:t xml:space="preserve">    3.2拟派项目经理须具有公路工程贰级及以上注册建造师（不含临时）资格，具有有效期内安全生产考核合格证书(B证)，需提供本单位缴纳的社保证明（近三个月），且未担任其他在建工程项目经理(提供无在建承诺书)。</w:t>
      </w:r>
      <w:bookmarkEnd w:id="25"/>
    </w:p>
    <w:bookmarkEnd w:id="26"/>
    <w:p w14:paraId="196ED8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27" w:name="_Toc30767"/>
      <w:bookmarkStart w:id="28" w:name="_Toc29358"/>
      <w:r>
        <w:rPr>
          <w:rFonts w:hint="eastAsia" w:ascii="仿宋" w:hAnsi="仿宋" w:eastAsia="仿宋" w:cs="仿宋"/>
          <w:b w:val="0"/>
          <w:bCs w:val="0"/>
          <w:color w:val="auto"/>
          <w:sz w:val="24"/>
          <w:szCs w:val="24"/>
          <w:highlight w:val="none"/>
          <w:lang w:val="en-US" w:eastAsia="zh-CN"/>
        </w:rPr>
        <w:t>3.3</w:t>
      </w:r>
      <w:bookmarkEnd w:id="27"/>
      <w:bookmarkStart w:id="29" w:name="_Toc20303"/>
      <w:r>
        <w:rPr>
          <w:rFonts w:hint="eastAsia" w:ascii="仿宋" w:hAnsi="仿宋" w:eastAsia="仿宋" w:cs="仿宋"/>
          <w:b w:val="0"/>
          <w:bCs w:val="0"/>
          <w:color w:val="auto"/>
          <w:sz w:val="24"/>
          <w:szCs w:val="24"/>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bookmarkEnd w:id="28"/>
    </w:p>
    <w:p w14:paraId="2A679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30" w:name="_Toc19660"/>
      <w:r>
        <w:rPr>
          <w:rFonts w:hint="eastAsia" w:ascii="仿宋" w:hAnsi="仿宋" w:eastAsia="仿宋" w:cs="仿宋"/>
          <w:b w:val="0"/>
          <w:bCs w:val="0"/>
          <w:color w:val="auto"/>
          <w:sz w:val="24"/>
          <w:szCs w:val="24"/>
          <w:highlight w:val="none"/>
          <w:lang w:val="en-US" w:eastAsia="zh-CN"/>
        </w:rPr>
        <w:t>3.4</w:t>
      </w:r>
      <w:bookmarkEnd w:id="29"/>
      <w:r>
        <w:rPr>
          <w:rFonts w:hint="eastAsia" w:ascii="仿宋" w:hAnsi="仿宋" w:eastAsia="仿宋" w:cs="仿宋"/>
          <w:b w:val="0"/>
          <w:bCs w:val="0"/>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需包含公司基本信息、股东信息及股权变更信息等内容）。</w:t>
      </w:r>
      <w:bookmarkEnd w:id="30"/>
    </w:p>
    <w:p w14:paraId="670BAF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bookmarkStart w:id="31" w:name="_Toc9971"/>
      <w:r>
        <w:rPr>
          <w:rFonts w:hint="eastAsia" w:ascii="仿宋" w:hAnsi="仿宋" w:eastAsia="仿宋" w:cs="仿宋"/>
          <w:b w:val="0"/>
          <w:bCs w:val="0"/>
          <w:color w:val="auto"/>
          <w:sz w:val="24"/>
          <w:szCs w:val="24"/>
          <w:highlight w:val="none"/>
          <w:lang w:val="en-US" w:eastAsia="zh-CN"/>
        </w:rPr>
        <w:t>3.5须提供《中小企业声明函》（详见采购文件格式）。</w:t>
      </w:r>
      <w:bookmarkEnd w:id="31"/>
    </w:p>
    <w:p w14:paraId="0A0EBF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注：依据《荥阳市财政局关于政府采购支持稳经济促增长的通知》（荥财字〔2022〕21号）文件中第五条“合理简化证明材料”的相关要求，参与本项目的供应商无需提供相关财务状况、社保资金等证明材料，仅须如实提供书面承诺符合资格条件且无纳税、社保、重大违法等方面失信记录以及具备履行合同所必须的设备和能力的声明函，即可参与政府采购活动。</w:t>
      </w:r>
    </w:p>
    <w:p w14:paraId="48A39A4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32" w:name="_Toc5610"/>
      <w:bookmarkStart w:id="33" w:name="_Toc22605"/>
      <w:r>
        <w:rPr>
          <w:rFonts w:hint="eastAsia" w:ascii="仿宋" w:hAnsi="仿宋" w:eastAsia="仿宋" w:cs="仿宋"/>
          <w:b/>
          <w:bCs/>
          <w:color w:val="auto"/>
          <w:sz w:val="24"/>
          <w:szCs w:val="24"/>
          <w:highlight w:val="none"/>
        </w:rPr>
        <w:t>三、</w:t>
      </w:r>
      <w:bookmarkEnd w:id="6"/>
      <w:bookmarkEnd w:id="7"/>
      <w:r>
        <w:rPr>
          <w:rFonts w:hint="eastAsia" w:ascii="仿宋" w:hAnsi="仿宋" w:eastAsia="仿宋" w:cs="仿宋"/>
          <w:b/>
          <w:bCs/>
          <w:color w:val="auto"/>
          <w:sz w:val="24"/>
          <w:szCs w:val="24"/>
          <w:highlight w:val="none"/>
        </w:rPr>
        <w:t>获取采购文件</w:t>
      </w:r>
      <w:bookmarkEnd w:id="20"/>
      <w:bookmarkEnd w:id="32"/>
      <w:bookmarkEnd w:id="33"/>
    </w:p>
    <w:p w14:paraId="71DF3B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4" w:name="_Toc5333"/>
      <w:bookmarkStart w:id="35" w:name="_Toc3139"/>
      <w:bookmarkStart w:id="36" w:name="_Toc6586679"/>
      <w:r>
        <w:rPr>
          <w:rFonts w:hint="eastAsia" w:ascii="仿宋" w:hAnsi="仿宋" w:eastAsia="仿宋" w:cs="仿宋"/>
          <w:color w:val="auto"/>
          <w:kern w:val="0"/>
          <w:sz w:val="24"/>
          <w:szCs w:val="24"/>
          <w:highlight w:val="none"/>
          <w:lang w:val="en-US" w:eastAsia="zh-CN" w:bidi="ar"/>
        </w:rPr>
        <w:t>1.时间：2025年11月17日至2025年11月21日，每天上午00:00至12:00，下午12:00至23:59（北京时间，法定节假日除外）</w:t>
      </w:r>
    </w:p>
    <w:p w14:paraId="48B739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3C795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386EFD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4.售价：0元。</w:t>
      </w:r>
    </w:p>
    <w:p w14:paraId="19377D88">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37" w:name="_Toc27631"/>
      <w:bookmarkStart w:id="38" w:name="_Toc8997"/>
      <w:r>
        <w:rPr>
          <w:rFonts w:hint="eastAsia" w:ascii="仿宋" w:hAnsi="仿宋" w:eastAsia="仿宋" w:cs="仿宋"/>
          <w:b/>
          <w:bCs/>
          <w:color w:val="auto"/>
          <w:sz w:val="24"/>
          <w:szCs w:val="24"/>
          <w:highlight w:val="none"/>
        </w:rPr>
        <w:t>四、响应文件提交</w:t>
      </w:r>
      <w:bookmarkEnd w:id="34"/>
      <w:bookmarkEnd w:id="37"/>
      <w:bookmarkEnd w:id="38"/>
    </w:p>
    <w:p w14:paraId="5AA98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9" w:name="_Toc22840"/>
      <w:r>
        <w:rPr>
          <w:rFonts w:hint="eastAsia" w:ascii="仿宋" w:hAnsi="仿宋" w:eastAsia="仿宋" w:cs="仿宋"/>
          <w:color w:val="auto"/>
          <w:kern w:val="0"/>
          <w:sz w:val="24"/>
          <w:szCs w:val="24"/>
          <w:highlight w:val="none"/>
          <w:lang w:val="en-US" w:eastAsia="zh-CN" w:bidi="ar"/>
        </w:rPr>
        <w:t xml:space="preserve">1.时间：2025年11月27日9时 00 分（北京时间） </w:t>
      </w:r>
    </w:p>
    <w:p w14:paraId="2D33C8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356D5E1B">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40" w:name="_Toc20166"/>
      <w:bookmarkStart w:id="41" w:name="_Toc28565"/>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开启</w:t>
      </w:r>
      <w:bookmarkEnd w:id="39"/>
      <w:bookmarkEnd w:id="40"/>
      <w:bookmarkEnd w:id="41"/>
    </w:p>
    <w:bookmarkEnd w:id="35"/>
    <w:bookmarkEnd w:id="36"/>
    <w:p w14:paraId="5E17DC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2" w:name="_Toc12087"/>
      <w:r>
        <w:rPr>
          <w:rFonts w:hint="eastAsia" w:ascii="仿宋" w:hAnsi="仿宋" w:eastAsia="仿宋" w:cs="仿宋"/>
          <w:color w:val="auto"/>
          <w:kern w:val="0"/>
          <w:sz w:val="24"/>
          <w:szCs w:val="24"/>
          <w:highlight w:val="none"/>
          <w:lang w:val="en-US" w:eastAsia="zh-CN" w:bidi="ar"/>
        </w:rPr>
        <w:t xml:space="preserve">1.时间：2025年11月27日9时 00 分（北京时间） </w:t>
      </w:r>
    </w:p>
    <w:p w14:paraId="33FECF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2.地点：荥阳市公共资源交易中心（荥阳市中原路与飞龙路西北角政务服务中心七楼）第三开标室</w:t>
      </w:r>
    </w:p>
    <w:p w14:paraId="68607A1C">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3" w:name="_Toc18483"/>
      <w:bookmarkStart w:id="44" w:name="_Toc23640"/>
      <w:r>
        <w:rPr>
          <w:rFonts w:hint="eastAsia" w:ascii="仿宋" w:hAnsi="仿宋" w:eastAsia="仿宋" w:cs="仿宋"/>
          <w:b/>
          <w:color w:val="auto"/>
          <w:sz w:val="24"/>
          <w:szCs w:val="24"/>
          <w:highlight w:val="none"/>
        </w:rPr>
        <w:t>六、发布公告的媒介及</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公告期限</w:t>
      </w:r>
      <w:bookmarkEnd w:id="42"/>
      <w:bookmarkEnd w:id="43"/>
      <w:bookmarkEnd w:id="44"/>
    </w:p>
    <w:p w14:paraId="5FFA0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5" w:name="_Toc16708"/>
      <w:r>
        <w:rPr>
          <w:rFonts w:hint="eastAsia" w:ascii="仿宋" w:hAnsi="仿宋" w:eastAsia="仿宋" w:cs="仿宋"/>
          <w:color w:val="auto"/>
          <w:kern w:val="0"/>
          <w:sz w:val="24"/>
          <w:szCs w:val="24"/>
          <w:highlight w:val="none"/>
          <w:lang w:val="en-US" w:eastAsia="zh-CN" w:bidi="ar"/>
        </w:rPr>
        <w:t>本次招标公告在《河南省政府采购网》、《荥阳市公共资源交易中心网站》、《中国招标投标公共服务平台》、《荥阳市政府采购</w:t>
      </w:r>
      <w:bookmarkStart w:id="662" w:name="_GoBack"/>
      <w:bookmarkEnd w:id="662"/>
      <w:r>
        <w:rPr>
          <w:rFonts w:hint="eastAsia" w:ascii="仿宋" w:hAnsi="仿宋" w:eastAsia="仿宋" w:cs="仿宋"/>
          <w:color w:val="auto"/>
          <w:kern w:val="0"/>
          <w:sz w:val="24"/>
          <w:szCs w:val="24"/>
          <w:highlight w:val="none"/>
          <w:lang w:val="en-US" w:eastAsia="zh-CN" w:bidi="ar"/>
        </w:rPr>
        <w:t>网》上发布，招标公告期限为三个工作日。</w:t>
      </w:r>
    </w:p>
    <w:p w14:paraId="73B2988F">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6" w:name="_Toc30105"/>
      <w:bookmarkStart w:id="47" w:name="_Toc9072"/>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其他补充事宜</w:t>
      </w:r>
      <w:bookmarkEnd w:id="45"/>
      <w:bookmarkEnd w:id="46"/>
      <w:bookmarkEnd w:id="47"/>
    </w:p>
    <w:p w14:paraId="2E71DA4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bookmarkStart w:id="48" w:name="_Toc19696"/>
      <w:r>
        <w:rPr>
          <w:rFonts w:hint="eastAsia" w:ascii="仿宋" w:hAnsi="仿宋" w:eastAsia="仿宋" w:cs="仿宋"/>
          <w:color w:val="auto"/>
          <w:sz w:val="24"/>
          <w:szCs w:val="24"/>
          <w:highlight w:val="none"/>
          <w:lang w:val="en-US" w:eastAsia="zh-CN" w:bidi="ar"/>
        </w:rPr>
        <w:t>1.本项目执行优先采购节能环保、环境标志性产品、优先采购自主创新产品，扶持不发达地区和少数民族地区，促进中小企业、监狱企业、残疾人福利性企业发展等相关政府采购政策。</w:t>
      </w:r>
    </w:p>
    <w:p w14:paraId="3994259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2.响应文件制作及上传：</w:t>
      </w:r>
    </w:p>
    <w:p w14:paraId="05DECA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2.1 获取磋商文件后，供应商请登陆荥阳市公共资源交易中心网站—下载中心—下载最新版本“投标文件制作软件”制作电子投标文件（具体制作手册请查询交易中心网站-办事指南-《投标文件制作操作手册》）。</w:t>
      </w:r>
    </w:p>
    <w:p w14:paraId="62C36E9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2.2 供应商须在投标截止时间前登陆荥阳市公共资源交易平台上传加密的电子响应文件。</w:t>
      </w:r>
    </w:p>
    <w:p w14:paraId="2F74B5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开标：本项目采用“远程不见面”开标方式，供应商应当在投标截止时间前登陆荥阳市公共资源交易中心网站首页“不见面开标”进入远程开标大厅http://www.xyggzyjyzx.com:8093/BidOpening，在线准时参加开标活动并进行文件解密、答疑澄清等。具体事宜请查看荥阳市公共资源交易中心网站—办事指南—《荥阳市公共资源交易中心不见面开标大厅操作手册（投标人）》。</w:t>
      </w:r>
    </w:p>
    <w:p w14:paraId="5F81643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4.注意事项：</w:t>
      </w:r>
    </w:p>
    <w:p w14:paraId="66487BA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4.1请供应商务必按照“荥阳市公共资源交易中心不见面开标大厅操作手册（投标人）”的要求设置参与不见面开标的电脑环境，否则由此可能引起的签到失败、解密失败或无法解密等问题由供应商自行承担。</w:t>
      </w:r>
    </w:p>
    <w:p w14:paraId="56B0C4D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4.2所有供应商应提30分钟，登录开标大厅进行不见面开标准备工作。所有供应商登录开标大厅后，须在投标截止时间前完成签到，其后应一直保持在线状态，保证能准时参加开标大会、投标文件的解密、现场答疑澄清等活动。</w:t>
      </w:r>
    </w:p>
    <w:p w14:paraId="10D156C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4.3供应商应在解密时间内插入CA锁，输入密码进行解密。如在解密时间内解密失败，可再次解密，供应商应在规定时间内完成解密，否则采购人不予受理。</w:t>
      </w:r>
    </w:p>
    <w:p w14:paraId="222A120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4.4 逾期上传的或者未上传指定地点的响应文件，采购人不予受理。</w:t>
      </w:r>
    </w:p>
    <w:p w14:paraId="519A9DB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4.5如遇问题，请拨打技术服务单位（国泰新点）电话：4009980000。</w:t>
      </w:r>
    </w:p>
    <w:p w14:paraId="50AED1E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注：请各供应商密切关注《荥阳市公共资源交易中心网站》，以便及时了解项目最新进展情况。</w:t>
      </w:r>
    </w:p>
    <w:p w14:paraId="2F6FAEDE">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本项目采购监督部门为：荥阳市财政局。</w:t>
      </w:r>
    </w:p>
    <w:p w14:paraId="11F0885B">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代理费收取方式及标准:由中标单位向采购代理机构缴纳,按照《河南省招标代理服务收费指导意见》豫招协【2023】002号文件有关规定收取。</w:t>
      </w:r>
    </w:p>
    <w:p w14:paraId="4B771723">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bookmarkStart w:id="49" w:name="_Toc23347"/>
      <w:bookmarkStart w:id="50" w:name="_Toc25045"/>
      <w:r>
        <w:rPr>
          <w:rFonts w:hint="eastAsia" w:ascii="仿宋" w:hAnsi="仿宋" w:eastAsia="仿宋" w:cs="仿宋"/>
          <w:b/>
          <w:color w:val="auto"/>
          <w:sz w:val="24"/>
          <w:szCs w:val="24"/>
          <w:highlight w:val="none"/>
        </w:rPr>
        <w:t>八、凡对本次</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提出询问，请按照以下方式联系</w:t>
      </w:r>
      <w:bookmarkEnd w:id="48"/>
      <w:bookmarkEnd w:id="49"/>
      <w:bookmarkEnd w:id="50"/>
    </w:p>
    <w:p w14:paraId="4DBD162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bookmarkStart w:id="51" w:name="_Toc28359096"/>
      <w:bookmarkStart w:id="52" w:name="_Toc35393806"/>
      <w:bookmarkStart w:id="53" w:name="_Toc28359019"/>
      <w:bookmarkStart w:id="54" w:name="_Toc35393637"/>
      <w:r>
        <w:rPr>
          <w:rFonts w:hint="eastAsia" w:ascii="仿宋" w:hAnsi="仿宋" w:eastAsia="仿宋" w:cs="仿宋"/>
          <w:color w:val="auto"/>
          <w:sz w:val="24"/>
          <w:szCs w:val="24"/>
          <w:highlight w:val="none"/>
          <w:lang w:val="en-US" w:eastAsia="zh-CN" w:bidi="ar"/>
        </w:rPr>
        <w:t>1.采购人信息</w:t>
      </w:r>
      <w:bookmarkEnd w:id="51"/>
      <w:bookmarkEnd w:id="52"/>
      <w:bookmarkEnd w:id="53"/>
      <w:bookmarkEnd w:id="54"/>
    </w:p>
    <w:p w14:paraId="6A96594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w:t>
      </w:r>
      <w:r>
        <w:rPr>
          <w:rFonts w:hint="eastAsia" w:ascii="仿宋" w:hAnsi="仿宋" w:eastAsia="仿宋" w:cs="仿宋"/>
          <w:color w:val="auto"/>
          <w:sz w:val="24"/>
          <w:szCs w:val="24"/>
          <w:highlight w:val="none"/>
          <w:u w:val="none"/>
          <w:lang w:val="en-US" w:eastAsia="zh-CN"/>
        </w:rPr>
        <w:t>荥阳市交通运输局</w:t>
      </w:r>
    </w:p>
    <w:p w14:paraId="36E98D3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地址：荥阳市国泰路与惠民路交叉口</w:t>
      </w:r>
    </w:p>
    <w:p w14:paraId="41E3503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联系人：史记</w:t>
      </w:r>
    </w:p>
    <w:p w14:paraId="70F6BFC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联系方式：18530893555</w:t>
      </w:r>
    </w:p>
    <w:p w14:paraId="4D1985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2.采购代理机构信息</w:t>
      </w:r>
    </w:p>
    <w:p w14:paraId="58A323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名称：</w:t>
      </w:r>
      <w:r>
        <w:rPr>
          <w:rFonts w:hint="eastAsia" w:ascii="仿宋" w:hAnsi="仿宋" w:eastAsia="仿宋" w:cs="仿宋"/>
          <w:color w:val="auto"/>
          <w:sz w:val="24"/>
          <w:szCs w:val="24"/>
          <w:highlight w:val="none"/>
          <w:lang w:val="zh-CN" w:eastAsia="zh-CN" w:bidi="ar"/>
        </w:rPr>
        <w:t>河南保利招标咨询有限公司</w:t>
      </w:r>
    </w:p>
    <w:p w14:paraId="5B4587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en-US" w:eastAsia="zh-CN" w:bidi="ar"/>
        </w:rPr>
        <w:t>地址：</w:t>
      </w:r>
      <w:r>
        <w:rPr>
          <w:rFonts w:hint="eastAsia" w:ascii="仿宋" w:hAnsi="仿宋" w:eastAsia="仿宋" w:cs="仿宋"/>
          <w:color w:val="auto"/>
          <w:sz w:val="24"/>
          <w:szCs w:val="24"/>
          <w:highlight w:val="none"/>
          <w:lang w:val="zh-CN" w:eastAsia="zh-CN" w:bidi="ar"/>
        </w:rPr>
        <w:t>郑州市高新区迎春街总部企业基地二期72号楼10楼</w:t>
      </w:r>
    </w:p>
    <w:p w14:paraId="4F00C44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联系人：崔梦圆</w:t>
      </w:r>
    </w:p>
    <w:p w14:paraId="0E3C0C3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联系方式：15093100065</w:t>
      </w:r>
    </w:p>
    <w:p w14:paraId="56349F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3.项目联系方式</w:t>
      </w:r>
    </w:p>
    <w:p w14:paraId="4E304B8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default" w:ascii="仿宋" w:hAnsi="仿宋" w:eastAsia="仿宋" w:cs="仿宋"/>
          <w:color w:val="auto"/>
          <w:sz w:val="24"/>
          <w:szCs w:val="24"/>
          <w:highlight w:val="none"/>
          <w:lang w:val="en-US" w:eastAsia="zh-CN" w:bidi="ar"/>
        </w:rPr>
        <w:t>联系人：崔梦圆</w:t>
      </w:r>
    </w:p>
    <w:p w14:paraId="71466B8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highlight w:val="none"/>
          <w:lang w:val="en-US" w:eastAsia="zh-CN" w:bidi="ar"/>
        </w:rPr>
      </w:pPr>
      <w:r>
        <w:rPr>
          <w:rFonts w:hint="default" w:ascii="仿宋" w:hAnsi="仿宋" w:eastAsia="仿宋" w:cs="仿宋"/>
          <w:color w:val="auto"/>
          <w:sz w:val="24"/>
          <w:szCs w:val="24"/>
          <w:highlight w:val="none"/>
          <w:lang w:val="en-US" w:eastAsia="zh-CN" w:bidi="ar"/>
        </w:rPr>
        <w:t>联系方式：15093100065</w:t>
      </w:r>
    </w:p>
    <w:p w14:paraId="4DD48488">
      <w:pPr>
        <w:rPr>
          <w:rFonts w:hint="eastAsia" w:ascii="仿宋" w:hAnsi="仿宋" w:eastAsia="仿宋" w:cs="仿宋"/>
          <w:color w:val="auto"/>
          <w:sz w:val="32"/>
          <w:highlight w:val="none"/>
        </w:rPr>
      </w:pPr>
      <w:r>
        <w:rPr>
          <w:rFonts w:hint="eastAsia" w:ascii="仿宋" w:hAnsi="仿宋" w:eastAsia="仿宋" w:cs="仿宋"/>
          <w:color w:val="auto"/>
          <w:sz w:val="32"/>
          <w:highlight w:val="none"/>
        </w:rPr>
        <w:br w:type="page"/>
      </w:r>
    </w:p>
    <w:p w14:paraId="48087F0E">
      <w:pPr>
        <w:pStyle w:val="3"/>
        <w:spacing w:before="120" w:after="120" w:line="500" w:lineRule="exact"/>
        <w:jc w:val="center"/>
        <w:rPr>
          <w:rFonts w:hint="eastAsia" w:ascii="仿宋" w:hAnsi="仿宋" w:eastAsia="仿宋" w:cs="仿宋"/>
          <w:color w:val="auto"/>
          <w:sz w:val="32"/>
          <w:highlight w:val="none"/>
        </w:rPr>
      </w:pPr>
      <w:bookmarkStart w:id="55" w:name="_Toc12615"/>
      <w:r>
        <w:rPr>
          <w:rFonts w:hint="eastAsia" w:ascii="仿宋" w:hAnsi="仿宋" w:eastAsia="仿宋" w:cs="仿宋"/>
          <w:color w:val="auto"/>
          <w:sz w:val="32"/>
          <w:highlight w:val="none"/>
        </w:rPr>
        <w:t>第二章 供应商须知</w:t>
      </w:r>
      <w:bookmarkEnd w:id="8"/>
      <w:bookmarkEnd w:id="9"/>
      <w:bookmarkEnd w:id="10"/>
      <w:bookmarkEnd w:id="55"/>
    </w:p>
    <w:p w14:paraId="4F5B0593">
      <w:pPr>
        <w:pStyle w:val="49"/>
        <w:jc w:val="center"/>
        <w:rPr>
          <w:rFonts w:hint="eastAsia" w:ascii="仿宋" w:hAnsi="仿宋" w:eastAsia="仿宋" w:cs="仿宋"/>
          <w:color w:val="auto"/>
          <w:sz w:val="28"/>
          <w:szCs w:val="28"/>
          <w:highlight w:val="none"/>
        </w:rPr>
      </w:pPr>
      <w:bookmarkStart w:id="56" w:name="_Toc152045528"/>
      <w:bookmarkStart w:id="57" w:name="_Toc144974496"/>
      <w:bookmarkStart w:id="58" w:name="_Toc22503"/>
      <w:bookmarkStart w:id="59" w:name="_Toc7866"/>
      <w:bookmarkStart w:id="60" w:name="_Toc22413"/>
      <w:bookmarkStart w:id="61" w:name="_Toc152042304"/>
      <w:r>
        <w:rPr>
          <w:rFonts w:hint="eastAsia" w:ascii="仿宋" w:hAnsi="仿宋" w:eastAsia="仿宋" w:cs="仿宋"/>
          <w:color w:val="auto"/>
          <w:sz w:val="28"/>
          <w:szCs w:val="28"/>
          <w:highlight w:val="none"/>
        </w:rPr>
        <w:t>供应商须知前附表</w:t>
      </w:r>
      <w:bookmarkEnd w:id="56"/>
      <w:bookmarkEnd w:id="57"/>
      <w:bookmarkEnd w:id="58"/>
      <w:bookmarkEnd w:id="59"/>
      <w:bookmarkEnd w:id="60"/>
      <w:bookmarkEnd w:id="61"/>
    </w:p>
    <w:tbl>
      <w:tblPr>
        <w:tblStyle w:val="27"/>
        <w:tblW w:w="9997" w:type="dxa"/>
        <w:jc w:val="center"/>
        <w:tblLayout w:type="fixed"/>
        <w:tblCellMar>
          <w:top w:w="0" w:type="dxa"/>
          <w:left w:w="108" w:type="dxa"/>
          <w:bottom w:w="0" w:type="dxa"/>
          <w:right w:w="108" w:type="dxa"/>
        </w:tblCellMar>
      </w:tblPr>
      <w:tblGrid>
        <w:gridCol w:w="967"/>
        <w:gridCol w:w="2337"/>
        <w:gridCol w:w="6693"/>
      </w:tblGrid>
      <w:tr w14:paraId="5E560252">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F3538C7">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B44A986">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56EAA5">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10B2C03">
        <w:tblPrEx>
          <w:tblCellMar>
            <w:top w:w="0" w:type="dxa"/>
            <w:left w:w="108" w:type="dxa"/>
            <w:bottom w:w="0" w:type="dxa"/>
            <w:right w:w="108" w:type="dxa"/>
          </w:tblCellMar>
        </w:tblPrEx>
        <w:trPr>
          <w:trHeight w:val="1858" w:hRule="exac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1F53A8A">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97FBCE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FF0000"/>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48B8769">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名称：荥阳市交通运输局</w:t>
            </w:r>
          </w:p>
          <w:p w14:paraId="4DD917BB">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地址：荥阳市国泰路与惠民路交叉口</w:t>
            </w:r>
          </w:p>
          <w:p w14:paraId="43B5AF86">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联系人：史记</w:t>
            </w:r>
          </w:p>
          <w:p w14:paraId="7A8731EC">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联系方式：18530893555</w:t>
            </w:r>
          </w:p>
          <w:p w14:paraId="226CD052">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FF0000"/>
                <w:kern w:val="0"/>
                <w:sz w:val="24"/>
                <w:szCs w:val="24"/>
                <w:highlight w:val="none"/>
                <w:lang w:val="en-US" w:eastAsia="zh-CN" w:bidi="ar"/>
              </w:rPr>
            </w:pPr>
            <w:r>
              <w:rPr>
                <w:rFonts w:hint="eastAsia" w:ascii="仿宋" w:hAnsi="仿宋" w:eastAsia="仿宋" w:cs="仿宋"/>
                <w:color w:val="FF0000"/>
                <w:kern w:val="0"/>
                <w:sz w:val="24"/>
                <w:szCs w:val="24"/>
                <w:highlight w:val="none"/>
                <w:lang w:val="en-US" w:eastAsia="zh-CN" w:bidi="ar"/>
              </w:rPr>
              <w:t xml:space="preserve"> </w:t>
            </w:r>
          </w:p>
          <w:p w14:paraId="008D2674">
            <w:pPr>
              <w:keepNext w:val="0"/>
              <w:keepLines w:val="0"/>
              <w:pageBreakBefore w:val="0"/>
              <w:kinsoku/>
              <w:overflowPunct/>
              <w:topLinePunct w:val="0"/>
              <w:bidi w:val="0"/>
              <w:snapToGrid/>
              <w:spacing w:beforeAutospacing="0" w:line="360" w:lineRule="auto"/>
              <w:jc w:val="both"/>
              <w:rPr>
                <w:rFonts w:hint="eastAsia" w:ascii="仿宋" w:hAnsi="仿宋" w:eastAsia="仿宋" w:cs="仿宋"/>
                <w:color w:val="FF0000"/>
                <w:kern w:val="0"/>
                <w:sz w:val="24"/>
                <w:szCs w:val="24"/>
                <w:highlight w:val="none"/>
                <w:lang w:val="en-US" w:eastAsia="zh-CN" w:bidi="ar"/>
              </w:rPr>
            </w:pPr>
          </w:p>
          <w:p w14:paraId="31EB7C7B">
            <w:pPr>
              <w:pStyle w:val="23"/>
              <w:keepNext w:val="0"/>
              <w:keepLines w:val="0"/>
              <w:pageBreakBefore w:val="0"/>
              <w:kinsoku/>
              <w:overflowPunct/>
              <w:topLinePunct w:val="0"/>
              <w:bidi w:val="0"/>
              <w:snapToGrid/>
              <w:spacing w:before="0" w:beforeAutospacing="0" w:after="0" w:afterAutospacing="0" w:line="360" w:lineRule="auto"/>
              <w:jc w:val="both"/>
              <w:rPr>
                <w:rFonts w:hint="eastAsia" w:ascii="仿宋" w:hAnsi="仿宋" w:eastAsia="仿宋" w:cs="仿宋"/>
                <w:color w:val="FF0000"/>
                <w:kern w:val="0"/>
                <w:sz w:val="24"/>
                <w:szCs w:val="24"/>
                <w:highlight w:val="none"/>
                <w:lang w:val="en-US" w:eastAsia="zh-CN" w:bidi="ar"/>
              </w:rPr>
            </w:pPr>
          </w:p>
        </w:tc>
      </w:tr>
      <w:tr w14:paraId="3BB10052">
        <w:tblPrEx>
          <w:tblCellMar>
            <w:top w:w="0" w:type="dxa"/>
            <w:left w:w="108" w:type="dxa"/>
            <w:bottom w:w="0" w:type="dxa"/>
            <w:right w:w="108" w:type="dxa"/>
          </w:tblCellMar>
        </w:tblPrEx>
        <w:trPr>
          <w:trHeight w:val="78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169378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E97ADB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9966A60">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val="zh-CN" w:eastAsia="zh-CN"/>
              </w:rPr>
              <w:t>河南保利招标咨询有限公司</w:t>
            </w:r>
          </w:p>
          <w:p w14:paraId="7B0067DF">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lang w:val="zh-CN" w:eastAsia="zh-CN"/>
              </w:rPr>
              <w:t>郑州市高新区迎春街总部企业基地二期72号楼10楼</w:t>
            </w:r>
          </w:p>
          <w:p w14:paraId="1BF926BE">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联系人：崔梦圆</w:t>
            </w:r>
          </w:p>
          <w:p w14:paraId="1ACBDB0F">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联系方式：15093100065</w:t>
            </w:r>
          </w:p>
        </w:tc>
      </w:tr>
      <w:tr w14:paraId="71A7CFEF">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9C9F3F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ED3192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B15EDF7">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荥阳市交通运输局荥阳市2025年普通国省道穿村过镇平交路口治理项目</w:t>
            </w:r>
          </w:p>
        </w:tc>
      </w:tr>
      <w:tr w14:paraId="44162B0B">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C4C46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502BA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16BCDD09">
            <w:pPr>
              <w:pStyle w:val="23"/>
              <w:keepNext w:val="0"/>
              <w:keepLines w:val="0"/>
              <w:pageBreakBefore w:val="0"/>
              <w:kinsoku/>
              <w:wordWrap w:val="0"/>
              <w:overflowPunct/>
              <w:topLinePunct w:val="0"/>
              <w:bidi w:val="0"/>
              <w:snapToGrid/>
              <w:spacing w:before="0" w:beforeAutospacing="0" w:after="0" w:afterAutospacing="0"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荥阳市</w:t>
            </w:r>
            <w:r>
              <w:rPr>
                <w:rFonts w:hint="eastAsia" w:ascii="仿宋" w:hAnsi="仿宋" w:eastAsia="仿宋" w:cs="仿宋"/>
                <w:color w:val="auto"/>
                <w:sz w:val="24"/>
                <w:szCs w:val="24"/>
                <w:highlight w:val="none"/>
                <w:lang w:val="en-US" w:eastAsia="zh-CN"/>
              </w:rPr>
              <w:t>境内</w:t>
            </w:r>
          </w:p>
        </w:tc>
      </w:tr>
      <w:tr w14:paraId="5E735FE0">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476D96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DF0DBE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39C3803">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财政资金（上级补助和地方政府自筹）</w:t>
            </w:r>
          </w:p>
        </w:tc>
      </w:tr>
      <w:tr w14:paraId="1B0A67E0">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89883C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63ACB6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8A933C1">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4131EC43">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71447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4209FA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D2792E9">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4B94A9FD">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674C5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F5988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采购范围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DD4B2BA">
            <w:pPr>
              <w:pStyle w:val="23"/>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施工图纸及工程量清单和磋商文件范围内的全部内容</w:t>
            </w:r>
          </w:p>
        </w:tc>
      </w:tr>
      <w:tr w14:paraId="59265F91">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55361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478298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工期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C57DA67">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sz w:val="24"/>
                <w:szCs w:val="24"/>
                <w:highlight w:val="none"/>
                <w:lang w:val="en-US" w:eastAsia="zh-CN"/>
              </w:rPr>
              <w:t>30日历天内完成并交付使用</w:t>
            </w:r>
          </w:p>
        </w:tc>
      </w:tr>
      <w:tr w14:paraId="2EAD1F7F">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DDB85F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954992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124174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none"/>
              </w:rPr>
            </w:pPr>
            <w:r>
              <w:rPr>
                <w:rFonts w:hint="eastAsia" w:ascii="仿宋" w:hAnsi="仿宋" w:eastAsia="仿宋" w:cs="仿宋"/>
                <w:color w:val="auto"/>
                <w:sz w:val="24"/>
                <w:szCs w:val="24"/>
                <w:highlight w:val="none"/>
                <w:lang w:val="en-US" w:eastAsia="zh-CN"/>
              </w:rPr>
              <w:t>符合国家现行相关标准和规范要求，达到合格标准。</w:t>
            </w:r>
          </w:p>
        </w:tc>
      </w:tr>
      <w:tr w14:paraId="0D6BEF24">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32C892B">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4EF0F5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103B146">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一年</w:t>
            </w:r>
          </w:p>
        </w:tc>
      </w:tr>
      <w:tr w14:paraId="56339B0D">
        <w:tblPrEx>
          <w:tblCellMar>
            <w:top w:w="0" w:type="dxa"/>
            <w:left w:w="108" w:type="dxa"/>
            <w:bottom w:w="0" w:type="dxa"/>
            <w:right w:w="108" w:type="dxa"/>
          </w:tblCellMar>
        </w:tblPrEx>
        <w:trPr>
          <w:trHeight w:val="168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808B8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B3F79D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D3B28C2">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1.满足《中华人民共和国政府采购法》第二十二条规定；</w:t>
            </w:r>
          </w:p>
          <w:p w14:paraId="38590813">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2.落实政府采购政策满足的资格要求：本本项目属于专门面向中小企业采购的项目，即本项目承建企业应为中小微企业、监狱企业、残疾人福利性单位。</w:t>
            </w:r>
          </w:p>
          <w:p w14:paraId="5B42FBF4">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3.本项目的特定资格要求</w:t>
            </w:r>
          </w:p>
          <w:p w14:paraId="74CEFC3A">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3.1供应商须具有公路工程施工总承包叁级及以上资质，具有有效的安全生产许可证，并在人员、设备、资金等方面具有相应的施工能力。</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3.2拟派项目经理须具有公路工程贰级及以上注册建造师（不含临时）资格，具有有效期内安全生产考核合格证书(B证)，需提供本单位缴纳的社保证明，且未担任其他在建工程项目经理</w:t>
            </w:r>
            <w:r>
              <w:rPr>
                <w:rFonts w:hint="eastAsia" w:ascii="仿宋" w:hAnsi="仿宋" w:eastAsia="仿宋" w:cs="仿宋"/>
                <w:b w:val="0"/>
                <w:bCs w:val="0"/>
                <w:color w:val="auto"/>
                <w:sz w:val="24"/>
                <w:szCs w:val="24"/>
                <w:highlight w:val="none"/>
                <w:lang w:val="en-US" w:eastAsia="zh-CN"/>
              </w:rPr>
              <w:t>(提供无在建承诺书)</w:t>
            </w:r>
            <w:r>
              <w:rPr>
                <w:rFonts w:hint="eastAsia" w:ascii="仿宋" w:hAnsi="仿宋" w:eastAsia="仿宋" w:cs="仿宋"/>
                <w:color w:val="auto"/>
                <w:kern w:val="2"/>
                <w:sz w:val="24"/>
                <w:szCs w:val="24"/>
                <w:highlight w:val="none"/>
                <w:lang w:val="en-US" w:eastAsia="zh-CN" w:bidi="ar-SA"/>
              </w:rPr>
              <w:t>。</w:t>
            </w:r>
          </w:p>
          <w:p w14:paraId="3FA0863F">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根据《关于在政府采购活动中查询及使用信用记录有关问题的通知》(财库[2016]125号)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w:t>
            </w:r>
          </w:p>
          <w:p w14:paraId="4BDCCBB9">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单位负责人为同一人或者存在直接控股、管理关系的不同响应人，不得参加同一合同项下的政府采购活动。（提供“国家企业信用信息公示系统”查询结果，需包含公司基本信息、股东信息及股权变更信息等内容）。</w:t>
            </w:r>
          </w:p>
          <w:p w14:paraId="18D85509">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3.5</w:t>
            </w:r>
            <w:r>
              <w:rPr>
                <w:rFonts w:hint="eastAsia" w:ascii="仿宋" w:hAnsi="仿宋" w:eastAsia="仿宋" w:cs="仿宋"/>
                <w:b w:val="0"/>
                <w:bCs w:val="0"/>
                <w:color w:val="auto"/>
                <w:sz w:val="24"/>
                <w:szCs w:val="24"/>
                <w:highlight w:val="none"/>
                <w:lang w:val="en-US" w:eastAsia="zh-CN"/>
              </w:rPr>
              <w:t>须提供《中小企业声明函》（详见采购文件格式）。</w:t>
            </w:r>
          </w:p>
          <w:p w14:paraId="335AE0D4">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注：依据《荥阳市财政局关于政府采购支持稳经济促增长的通知》（荥财字〔2022〕21号）文件中第五条“合理简化证明材料”的相关要求，参与本项目的供应商无需提供相关财务状况、社保资金等证明材料，仅须如实提供书面承诺符合资格条件且无纳税、社保、重大违法等方面失信记录以及具备履行合同所必须的设备和能力的声明函，即可参与政府采购活动。</w:t>
            </w:r>
          </w:p>
        </w:tc>
      </w:tr>
      <w:tr w14:paraId="59DDAE2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B38708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5B238FC">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w:t>
            </w:r>
          </w:p>
          <w:p w14:paraId="5BA43211">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126F17F">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2FC49978">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7BB051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7CB325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737C33F">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不组织，供应商自行踏勘</w:t>
            </w:r>
          </w:p>
        </w:tc>
      </w:tr>
      <w:tr w14:paraId="093B86D5">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8EC175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0EF457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B9452B5">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en-US" w:eastAsia="zh-CN"/>
              </w:rPr>
              <w:t>召开</w:t>
            </w:r>
          </w:p>
        </w:tc>
      </w:tr>
      <w:tr w14:paraId="5FCD730F">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2D4FAE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68819B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供应商提出问题的截止时间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9D0094F">
            <w:pPr>
              <w:keepNext w:val="0"/>
              <w:keepLines w:val="0"/>
              <w:pageBreakBefore w:val="0"/>
              <w:kinsoku/>
              <w:overflowPunct/>
              <w:topLinePunct w:val="0"/>
              <w:bidi w:val="0"/>
              <w:adjustRightInd w:val="0"/>
              <w:snapToGrid/>
              <w:spacing w:beforeAutospacing="0"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p w14:paraId="06FF1CE4">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形式：通过荥阳市公共资源交易中心电子平台系统内提出</w:t>
            </w:r>
          </w:p>
        </w:tc>
      </w:tr>
      <w:tr w14:paraId="587179E1">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C2D702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7E0EAF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采购人书面澄清的时间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C4E8EC">
            <w:pPr>
              <w:pStyle w:val="23"/>
              <w:keepNext w:val="0"/>
              <w:keepLines w:val="0"/>
              <w:pageBreakBefore w:val="0"/>
              <w:kinsoku/>
              <w:overflowPunct/>
              <w:topLinePunct w:val="0"/>
              <w:bidi w:val="0"/>
              <w:snapToGrid/>
              <w:spacing w:before="0" w:beforeAutospacing="0" w:after="0" w:afterAutospacing="0"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投标截止时间5天前（采购人、采购代理机构对已发出的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进行的澄清、更正或更改，澄清、更正或更改的内容将作为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的组成部分。采购代理机构将通过网站“变更公告”和系统内部“网上提问”或“群发消息”告知供应商。各供应商须重新下载最新的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和答疑文件，以此编制</w:t>
            </w:r>
            <w:r>
              <w:rPr>
                <w:rFonts w:hint="eastAsia" w:ascii="仿宋" w:hAnsi="仿宋" w:eastAsia="仿宋" w:cs="仿宋"/>
                <w:color w:val="auto"/>
                <w:sz w:val="24"/>
                <w:szCs w:val="24"/>
                <w:highlight w:val="none"/>
                <w:lang w:eastAsia="zh-CN"/>
              </w:rPr>
              <w:t>响应文</w:t>
            </w:r>
            <w:r>
              <w:rPr>
                <w:rFonts w:hint="eastAsia" w:ascii="仿宋" w:hAnsi="仿宋" w:eastAsia="仿宋" w:cs="仿宋"/>
                <w:color w:val="auto"/>
                <w:sz w:val="24"/>
                <w:szCs w:val="24"/>
                <w:highlight w:val="none"/>
                <w:lang w:val="en-US" w:eastAsia="zh-CN"/>
              </w:rPr>
              <w:t>件</w:t>
            </w:r>
          </w:p>
        </w:tc>
      </w:tr>
      <w:tr w14:paraId="2E4D4E67">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CAC2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E0AC5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C13CAD9">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50C93D75">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1C588E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A8F171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39850A5">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295F58CB">
        <w:tblPrEx>
          <w:tblCellMar>
            <w:top w:w="0" w:type="dxa"/>
            <w:left w:w="108" w:type="dxa"/>
            <w:bottom w:w="0" w:type="dxa"/>
            <w:right w:w="108" w:type="dxa"/>
          </w:tblCellMar>
        </w:tblPrEx>
        <w:trPr>
          <w:trHeight w:val="56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EFFB33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1A4078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BBBF6A8">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外，最高投标限价以及采购人在采购期间发出的澄清（如有）、修改、补充、补遗和其它有效正式函件等内容均是</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tc>
      </w:tr>
      <w:tr w14:paraId="44EABCDC">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A2040B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004A13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供应商要求澄清</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3C0880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个工作日内提出</w:t>
            </w:r>
          </w:p>
        </w:tc>
      </w:tr>
      <w:tr w14:paraId="22158B06">
        <w:tblPrEx>
          <w:tblCellMar>
            <w:top w:w="0" w:type="dxa"/>
            <w:left w:w="108" w:type="dxa"/>
            <w:bottom w:w="0" w:type="dxa"/>
            <w:right w:w="108" w:type="dxa"/>
          </w:tblCellMar>
        </w:tblPrEx>
        <w:trPr>
          <w:trHeight w:val="52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B1DD1C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D3F06D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319F7E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11月27日</w:t>
            </w:r>
            <w:r>
              <w:rPr>
                <w:rFonts w:hint="eastAsia" w:ascii="仿宋" w:hAnsi="仿宋" w:eastAsia="仿宋" w:cs="仿宋"/>
                <w:color w:val="auto"/>
                <w:sz w:val="24"/>
                <w:szCs w:val="24"/>
                <w:highlight w:val="none"/>
              </w:rPr>
              <w:t>9时00分（北京时间）</w:t>
            </w:r>
          </w:p>
        </w:tc>
      </w:tr>
      <w:tr w14:paraId="043D9086">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ADCCA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DFCFF6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澄清的时间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278F45D7">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1BC627BE">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9C8FE9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5092CC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修改的时间</w:t>
            </w:r>
          </w:p>
        </w:tc>
        <w:tc>
          <w:tcPr>
            <w:tcW w:w="6693" w:type="dxa"/>
            <w:tcBorders>
              <w:top w:val="single" w:color="auto" w:sz="4" w:space="0"/>
              <w:left w:val="single" w:color="auto" w:sz="4" w:space="0"/>
              <w:bottom w:val="single" w:color="auto" w:sz="4" w:space="0"/>
              <w:right w:val="single" w:color="auto" w:sz="4" w:space="0"/>
            </w:tcBorders>
            <w:noWrap w:val="0"/>
            <w:vAlign w:val="top"/>
          </w:tcPr>
          <w:p w14:paraId="10B74A7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4403B8E8">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B04664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B06172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其他材料</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1AFA6B8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采购人发出的补充文件或变更资料（如有）</w:t>
            </w:r>
          </w:p>
          <w:p w14:paraId="1479837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供应商认为需要提交的其他证明材料，具体见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tc>
      </w:tr>
      <w:tr w14:paraId="474E7058">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3AEFDDC">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97D1FA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15998E9">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本项目设最高投标限价，最高投标限价为：</w:t>
            </w:r>
          </w:p>
          <w:p w14:paraId="280EB14C">
            <w:pPr>
              <w:pStyle w:val="25"/>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大写：柒拾贰万伍仟叁佰柒拾元零角零分</w:t>
            </w:r>
          </w:p>
          <w:p w14:paraId="7A15B043">
            <w:pPr>
              <w:pStyle w:val="25"/>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小写：725370.00元</w:t>
            </w:r>
          </w:p>
          <w:p w14:paraId="0AAE7B5C">
            <w:pPr>
              <w:pStyle w:val="2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凡供应商的投标价格超出“最高投标限价”（不含等于“最高投标限价”）的，该供应商的响应文件将不予进行后续评审，否决其投标。</w:t>
            </w:r>
          </w:p>
        </w:tc>
      </w:tr>
      <w:tr w14:paraId="23E48100">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3B3E31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529E2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13C5BCC">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自响应文件递交截止之日起90日历天</w:t>
            </w:r>
          </w:p>
        </w:tc>
      </w:tr>
      <w:tr w14:paraId="614D4411">
        <w:tblPrEx>
          <w:tblCellMar>
            <w:top w:w="0" w:type="dxa"/>
            <w:left w:w="108" w:type="dxa"/>
            <w:bottom w:w="0" w:type="dxa"/>
            <w:right w:w="108" w:type="dxa"/>
          </w:tblCellMar>
        </w:tblPrEx>
        <w:trPr>
          <w:trHeight w:val="97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ED3819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C41725E">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磋商保证金</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728DEBD4">
            <w:pPr>
              <w:pStyle w:val="23"/>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tc>
      </w:tr>
      <w:tr w14:paraId="22D784A1">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0C79A3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45F4A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056C60AC">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提供承诺函</w:t>
            </w:r>
          </w:p>
        </w:tc>
      </w:tr>
      <w:tr w14:paraId="69D5B7CE">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61E865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5C83BB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是否允许备选投标方案</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2998573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472B85D6">
        <w:tblPrEx>
          <w:tblCellMar>
            <w:top w:w="0" w:type="dxa"/>
            <w:left w:w="108" w:type="dxa"/>
            <w:bottom w:w="0" w:type="dxa"/>
            <w:right w:w="108" w:type="dxa"/>
          </w:tblCellMar>
        </w:tblPrEx>
        <w:trPr>
          <w:trHeight w:val="69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7341F32">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F22038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A3B147A">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供应商在制作电子响应文件时，按采购文件和系统要求进行电子签章：</w:t>
            </w:r>
          </w:p>
          <w:p w14:paraId="7D6564F2">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所有要求</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加盖公章的地方都应用供应商单位的CA电子签章。</w:t>
            </w:r>
          </w:p>
          <w:p w14:paraId="55771C5D">
            <w:pPr>
              <w:keepNext w:val="0"/>
              <w:keepLines w:val="0"/>
              <w:pageBreakBefore w:val="0"/>
              <w:kinsoku/>
              <w:overflowPunct/>
              <w:topLinePunct w:val="0"/>
              <w:bidi w:val="0"/>
              <w:snapToGrid/>
              <w:spacing w:beforeAutospacing="0"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所有要求法定代表人签字的地方都应用法定代表人的CA电子签章。若有委托代理人，且委托代理人没有CA锁，则响应文件可以上传手写签名的扫描件。</w:t>
            </w:r>
          </w:p>
        </w:tc>
      </w:tr>
      <w:tr w14:paraId="4A3BE553">
        <w:tblPrEx>
          <w:tblCellMar>
            <w:top w:w="0" w:type="dxa"/>
            <w:left w:w="108" w:type="dxa"/>
            <w:bottom w:w="0" w:type="dxa"/>
            <w:right w:w="108" w:type="dxa"/>
          </w:tblCellMar>
        </w:tblPrEx>
        <w:trPr>
          <w:trHeight w:val="54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1D5296">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344A9B1">
            <w:pPr>
              <w:pStyle w:val="50"/>
              <w:keepNext w:val="0"/>
              <w:keepLines w:val="0"/>
              <w:pageBreakBefore w:val="0"/>
              <w:kinsoku/>
              <w:overflowPunct/>
              <w:topLinePunct w:val="0"/>
              <w:bidi w:val="0"/>
              <w:snapToGrid/>
              <w:spacing w:beforeAutospacing="0" w:line="360" w:lineRule="auto"/>
              <w:ind w:right="121"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的制作及要求</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E5637D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壹份（在</w:t>
            </w:r>
            <w:r>
              <w:rPr>
                <w:rFonts w:hint="eastAsia" w:ascii="仿宋" w:hAnsi="仿宋" w:eastAsia="仿宋" w:cs="仿宋"/>
                <w:color w:val="auto"/>
                <w:sz w:val="24"/>
                <w:szCs w:val="24"/>
                <w:highlight w:val="none"/>
                <w:lang w:val="en-US" w:eastAsia="zh-CN"/>
              </w:rPr>
              <w:t>公共资源交易平台</w:t>
            </w:r>
            <w:r>
              <w:rPr>
                <w:rFonts w:hint="eastAsia" w:ascii="仿宋" w:hAnsi="仿宋" w:eastAsia="仿宋" w:cs="仿宋"/>
                <w:color w:val="auto"/>
                <w:sz w:val="24"/>
                <w:szCs w:val="24"/>
                <w:highlight w:val="none"/>
              </w:rPr>
              <w:t>系统指定位置上传）；</w:t>
            </w:r>
          </w:p>
        </w:tc>
      </w:tr>
      <w:tr w14:paraId="14A51C71">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ACC439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E75BE5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DBF219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提交截止时间前在荥阳市公共资源交易中心交易系统中将加密电子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加密上传。</w:t>
            </w:r>
          </w:p>
        </w:tc>
      </w:tr>
      <w:tr w14:paraId="5ECD4204">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58E855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241F03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是否退还</w:t>
            </w:r>
            <w:r>
              <w:rPr>
                <w:rFonts w:hint="eastAsia" w:ascii="仿宋" w:hAnsi="仿宋" w:eastAsia="仿宋" w:cs="仿宋"/>
                <w:color w:val="auto"/>
                <w:sz w:val="24"/>
                <w:szCs w:val="24"/>
                <w:highlight w:val="none"/>
                <w:lang w:eastAsia="zh-CN"/>
              </w:rPr>
              <w:t>响应文件</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43F4AC2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76E16E16">
        <w:tblPrEx>
          <w:tblCellMar>
            <w:top w:w="0" w:type="dxa"/>
            <w:left w:w="108" w:type="dxa"/>
            <w:bottom w:w="0" w:type="dxa"/>
            <w:right w:w="10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D46197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A4A36A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57CFC38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11月27日</w:t>
            </w:r>
            <w:r>
              <w:rPr>
                <w:rFonts w:hint="eastAsia" w:ascii="仿宋" w:hAnsi="仿宋" w:eastAsia="仿宋" w:cs="仿宋"/>
                <w:color w:val="auto"/>
                <w:sz w:val="24"/>
                <w:szCs w:val="24"/>
                <w:highlight w:val="none"/>
              </w:rPr>
              <w:t>9时00分（北京时间）</w:t>
            </w:r>
          </w:p>
          <w:p w14:paraId="7C0B0742">
            <w:pPr>
              <w:keepNext w:val="0"/>
              <w:keepLines w:val="0"/>
              <w:pageBreakBefore w:val="0"/>
              <w:widowControl/>
              <w:shd w:val="clear" w:color="auto"/>
              <w:tabs>
                <w:tab w:val="left" w:pos="7406"/>
              </w:tabs>
              <w:kinsoku/>
              <w:overflowPunct/>
              <w:topLinePunct w:val="0"/>
              <w:bidi w:val="0"/>
              <w:snapToGrid/>
              <w:spacing w:before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开标地点</w:t>
            </w:r>
            <w:r>
              <w:rPr>
                <w:rFonts w:hint="eastAsia" w:ascii="仿宋" w:hAnsi="仿宋" w:eastAsia="仿宋" w:cs="仿宋"/>
                <w:color w:val="auto"/>
                <w:kern w:val="0"/>
                <w:sz w:val="24"/>
                <w:szCs w:val="24"/>
                <w:highlight w:val="none"/>
                <w:shd w:val="clear" w:color="auto" w:fill="FFFFFF"/>
                <w:lang w:bidi="ar"/>
              </w:rPr>
              <w:t>：荥阳市公共资源交易中心（荥阳市中原路与飞龙路西北角政务服务中心七楼）远程第</w:t>
            </w:r>
            <w:r>
              <w:rPr>
                <w:rFonts w:hint="eastAsia" w:ascii="仿宋" w:hAnsi="仿宋" w:eastAsia="仿宋" w:cs="仿宋"/>
                <w:color w:val="auto"/>
                <w:kern w:val="0"/>
                <w:sz w:val="24"/>
                <w:szCs w:val="24"/>
                <w:highlight w:val="none"/>
                <w:shd w:val="clear" w:color="auto" w:fill="FFFFFF"/>
                <w:lang w:val="en-US" w:eastAsia="zh-CN" w:bidi="ar"/>
              </w:rPr>
              <w:t>三</w:t>
            </w:r>
            <w:r>
              <w:rPr>
                <w:rFonts w:hint="eastAsia" w:ascii="仿宋" w:hAnsi="仿宋" w:eastAsia="仿宋" w:cs="仿宋"/>
                <w:color w:val="auto"/>
                <w:kern w:val="0"/>
                <w:sz w:val="24"/>
                <w:szCs w:val="24"/>
                <w:highlight w:val="none"/>
                <w:shd w:val="clear" w:color="auto" w:fill="FFFFFF"/>
                <w:lang w:bidi="ar"/>
              </w:rPr>
              <w:t>开标室</w:t>
            </w:r>
            <w:r>
              <w:rPr>
                <w:rFonts w:hint="eastAsia" w:ascii="仿宋" w:hAnsi="仿宋" w:eastAsia="仿宋" w:cs="仿宋"/>
                <w:color w:val="auto"/>
                <w:sz w:val="24"/>
                <w:szCs w:val="24"/>
                <w:highlight w:val="none"/>
              </w:rPr>
              <w:t>；</w:t>
            </w:r>
          </w:p>
          <w:p w14:paraId="67AC45A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注：本项目采用“远程不见面”开标方式，远程开标大厅网址为</w:t>
            </w:r>
            <w:r>
              <w:rPr>
                <w:rFonts w:hint="eastAsia" w:ascii="仿宋" w:hAnsi="仿宋" w:eastAsia="仿宋" w:cs="仿宋"/>
                <w:b w:val="0"/>
                <w:color w:val="auto"/>
                <w:sz w:val="24"/>
                <w:szCs w:val="24"/>
                <w:highlight w:val="none"/>
              </w:rPr>
              <w:t>http://ggzyjyzx.xingyang.gov.cn:8093/BidOpening/bidopeninghallaction/hall/login</w:t>
            </w:r>
            <w:r>
              <w:rPr>
                <w:rFonts w:hint="eastAsia" w:ascii="仿宋" w:hAnsi="仿宋" w:eastAsia="仿宋" w:cs="仿宋"/>
                <w:color w:val="auto"/>
                <w:sz w:val="24"/>
                <w:szCs w:val="24"/>
                <w:highlight w:val="none"/>
              </w:rPr>
              <w:t>），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14:paraId="55E6A118">
        <w:tblPrEx>
          <w:tblCellMar>
            <w:top w:w="0" w:type="dxa"/>
            <w:left w:w="108" w:type="dxa"/>
            <w:bottom w:w="0" w:type="dxa"/>
            <w:right w:w="108" w:type="dxa"/>
          </w:tblCellMar>
        </w:tblPrEx>
        <w:trPr>
          <w:trHeight w:val="33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753AB8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D3870B0">
            <w:pPr>
              <w:pStyle w:val="50"/>
              <w:keepNext w:val="0"/>
              <w:keepLines w:val="0"/>
              <w:pageBreakBefore w:val="0"/>
              <w:kinsoku/>
              <w:overflowPunct/>
              <w:topLinePunct w:val="0"/>
              <w:bidi w:val="0"/>
              <w:snapToGrid/>
              <w:spacing w:beforeAutospacing="0" w:line="360" w:lineRule="auto"/>
              <w:ind w:left="106" w:right="97"/>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开标程序</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818FED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本项目采用电子开标。到投标截止时间止，各供应商对加密的电子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进行解密。解密完成后各供应商的电子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的实质性内容将自动显示在网页中。供应商在投标截止时间前未上传电子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的将视为放弃投标。</w:t>
            </w:r>
          </w:p>
          <w:p w14:paraId="660E19C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3FBA644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供应商未参加开标的，视同认可开标结果。</w:t>
            </w:r>
          </w:p>
        </w:tc>
      </w:tr>
      <w:tr w14:paraId="1A8365FF">
        <w:tblPrEx>
          <w:tblCellMar>
            <w:top w:w="0" w:type="dxa"/>
            <w:left w:w="108" w:type="dxa"/>
            <w:bottom w:w="0" w:type="dxa"/>
            <w:right w:w="108" w:type="dxa"/>
          </w:tblCellMar>
        </w:tblPrEx>
        <w:trPr>
          <w:trHeight w:val="50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8024DF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82FFED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的组建</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3B2B7B6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人；</w:t>
            </w:r>
          </w:p>
          <w:p w14:paraId="6B861DC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评标专家确定方式：</w:t>
            </w:r>
            <w:r>
              <w:rPr>
                <w:rFonts w:hint="eastAsia" w:ascii="仿宋" w:hAnsi="仿宋" w:eastAsia="仿宋" w:cs="仿宋"/>
                <w:color w:val="auto"/>
                <w:sz w:val="24"/>
                <w:szCs w:val="24"/>
                <w:highlight w:val="none"/>
                <w:lang w:val="en-US" w:eastAsia="zh-CN"/>
              </w:rPr>
              <w:t>在河南省财政厅政府采购评标专家库中随机抽取。</w:t>
            </w:r>
          </w:p>
        </w:tc>
      </w:tr>
      <w:tr w14:paraId="290CBE44">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right w:val="single" w:color="auto" w:sz="4" w:space="0"/>
            </w:tcBorders>
            <w:noWrap w:val="0"/>
            <w:vAlign w:val="center"/>
          </w:tcPr>
          <w:p w14:paraId="11F8065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337" w:type="dxa"/>
            <w:tcBorders>
              <w:top w:val="single" w:color="auto" w:sz="4" w:space="0"/>
              <w:left w:val="single" w:color="auto" w:sz="4" w:space="0"/>
              <w:right w:val="single" w:color="auto" w:sz="4" w:space="0"/>
            </w:tcBorders>
            <w:noWrap w:val="0"/>
            <w:vAlign w:val="center"/>
          </w:tcPr>
          <w:p w14:paraId="42A11A1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c>
          <w:tcPr>
            <w:tcW w:w="6693" w:type="dxa"/>
            <w:tcBorders>
              <w:top w:val="single" w:color="auto" w:sz="4" w:space="0"/>
              <w:left w:val="single" w:color="auto" w:sz="4" w:space="0"/>
              <w:right w:val="single" w:color="auto" w:sz="4" w:space="0"/>
            </w:tcBorders>
            <w:noWrap w:val="0"/>
            <w:vAlign w:val="center"/>
          </w:tcPr>
          <w:p w14:paraId="57240D8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候选人数：3名</w:t>
            </w:r>
          </w:p>
        </w:tc>
      </w:tr>
      <w:tr w14:paraId="1F3177CF">
        <w:tblPrEx>
          <w:tblCellMar>
            <w:top w:w="0" w:type="dxa"/>
            <w:left w:w="0" w:type="dxa"/>
            <w:bottom w:w="0" w:type="dxa"/>
            <w:right w:w="0" w:type="dxa"/>
          </w:tblCellMar>
        </w:tblPrEx>
        <w:trPr>
          <w:trHeight w:val="664"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2915B30">
            <w:pPr>
              <w:keepNext w:val="0"/>
              <w:keepLines w:val="0"/>
              <w:pageBreakBefore w:val="0"/>
              <w:kinsoku/>
              <w:overflowPunct/>
              <w:topLinePunct w:val="0"/>
              <w:autoSpaceDE w:val="0"/>
              <w:autoSpaceDN w:val="0"/>
              <w:bidi w:val="0"/>
              <w:adjustRightInd w:val="0"/>
              <w:snapToGrid/>
              <w:spacing w:beforeAutospacing="0" w:line="360" w:lineRule="auto"/>
              <w:ind w:right="35"/>
              <w:jc w:val="center"/>
              <w:rPr>
                <w:rFonts w:hint="eastAsia" w:ascii="仿宋" w:hAnsi="仿宋" w:eastAsia="仿宋" w:cs="仿宋"/>
                <w:color w:val="auto"/>
                <w:spacing w:val="1"/>
                <w:kern w:val="0"/>
                <w:sz w:val="24"/>
                <w:szCs w:val="24"/>
                <w:highlight w:val="none"/>
              </w:rPr>
            </w:pPr>
            <w:r>
              <w:rPr>
                <w:rFonts w:hint="eastAsia" w:ascii="仿宋" w:hAnsi="仿宋" w:eastAsia="仿宋" w:cs="仿宋"/>
                <w:b/>
                <w:color w:val="auto"/>
                <w:sz w:val="24"/>
                <w:szCs w:val="24"/>
                <w:highlight w:val="none"/>
              </w:rPr>
              <w:t>10</w:t>
            </w:r>
          </w:p>
        </w:tc>
        <w:tc>
          <w:tcPr>
            <w:tcW w:w="9030" w:type="dxa"/>
            <w:gridSpan w:val="2"/>
            <w:tcBorders>
              <w:top w:val="single" w:color="000000" w:sz="4" w:space="0"/>
              <w:left w:val="single" w:color="000000" w:sz="4" w:space="0"/>
              <w:bottom w:val="single" w:color="000000" w:sz="4" w:space="0"/>
              <w:right w:val="single" w:color="000000" w:sz="4" w:space="0"/>
            </w:tcBorders>
            <w:noWrap w:val="0"/>
            <w:vAlign w:val="center"/>
          </w:tcPr>
          <w:p w14:paraId="6223980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需要补充的其他内容</w:t>
            </w:r>
          </w:p>
        </w:tc>
      </w:tr>
      <w:tr w14:paraId="7920E744">
        <w:tblPrEx>
          <w:tblCellMar>
            <w:top w:w="0" w:type="dxa"/>
            <w:left w:w="0" w:type="dxa"/>
            <w:bottom w:w="0" w:type="dxa"/>
            <w:right w:w="0"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117516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1</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02DD0FD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rPr>
              <w:t>采购代理服务费</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7E7F45BA">
            <w:pPr>
              <w:keepNext w:val="0"/>
              <w:keepLines w:val="0"/>
              <w:pageBreakBefore w:val="0"/>
              <w:kinsoku/>
              <w:overflowPunct/>
              <w:topLinePunct w:val="0"/>
              <w:bidi w:val="0"/>
              <w:snapToGrid/>
              <w:spacing w:beforeAutospacing="0" w:line="360" w:lineRule="auto"/>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rPr>
              <w:t>本次采购代理服务费由</w:t>
            </w:r>
            <w:r>
              <w:rPr>
                <w:rFonts w:hint="eastAsia" w:ascii="仿宋" w:hAnsi="仿宋" w:eastAsia="仿宋" w:cs="仿宋"/>
                <w:bCs/>
                <w:color w:val="auto"/>
                <w:kern w:val="1"/>
                <w:sz w:val="24"/>
                <w:szCs w:val="24"/>
                <w:highlight w:val="none"/>
                <w:lang w:val="en-US" w:eastAsia="zh-CN"/>
              </w:rPr>
              <w:t>成交</w:t>
            </w:r>
            <w:r>
              <w:rPr>
                <w:rFonts w:hint="eastAsia" w:ascii="仿宋" w:hAnsi="仿宋" w:eastAsia="仿宋" w:cs="仿宋"/>
                <w:bCs/>
                <w:color w:val="auto"/>
                <w:kern w:val="1"/>
                <w:sz w:val="24"/>
                <w:szCs w:val="24"/>
                <w:highlight w:val="none"/>
              </w:rPr>
              <w:t>人依据</w:t>
            </w:r>
            <w:r>
              <w:rPr>
                <w:rFonts w:hint="eastAsia" w:ascii="仿宋" w:hAnsi="仿宋" w:eastAsia="仿宋" w:cs="仿宋"/>
                <w:bCs/>
                <w:color w:val="auto"/>
                <w:kern w:val="1"/>
                <w:sz w:val="24"/>
                <w:szCs w:val="24"/>
                <w:highlight w:val="none"/>
                <w:lang w:val="en-US" w:eastAsia="zh-CN"/>
              </w:rPr>
              <w:t>《河南省招标代理服务收费指导意见》豫招协[2023]002号文件标准</w:t>
            </w:r>
            <w:r>
              <w:rPr>
                <w:rFonts w:hint="eastAsia" w:ascii="仿宋" w:hAnsi="仿宋" w:eastAsia="仿宋" w:cs="仿宋"/>
                <w:bCs/>
                <w:color w:val="auto"/>
                <w:kern w:val="1"/>
                <w:sz w:val="24"/>
                <w:szCs w:val="24"/>
                <w:highlight w:val="none"/>
              </w:rPr>
              <w:t>向</w:t>
            </w:r>
            <w:r>
              <w:rPr>
                <w:rFonts w:hint="eastAsia" w:ascii="仿宋" w:hAnsi="仿宋" w:eastAsia="仿宋" w:cs="仿宋"/>
                <w:bCs/>
                <w:color w:val="auto"/>
                <w:kern w:val="1"/>
                <w:sz w:val="24"/>
                <w:szCs w:val="24"/>
                <w:highlight w:val="none"/>
                <w:lang w:val="en-US" w:eastAsia="zh-CN"/>
              </w:rPr>
              <w:t>采购</w:t>
            </w:r>
            <w:r>
              <w:rPr>
                <w:rFonts w:hint="eastAsia" w:ascii="仿宋" w:hAnsi="仿宋" w:eastAsia="仿宋" w:cs="仿宋"/>
                <w:bCs/>
                <w:color w:val="auto"/>
                <w:kern w:val="1"/>
                <w:sz w:val="24"/>
                <w:szCs w:val="24"/>
                <w:highlight w:val="none"/>
              </w:rPr>
              <w:t>代理机构交纳。中标人在领取中标通知书时，按</w:t>
            </w:r>
            <w:r>
              <w:rPr>
                <w:rFonts w:hint="eastAsia" w:ascii="仿宋" w:hAnsi="仿宋" w:eastAsia="仿宋" w:cs="仿宋"/>
                <w:bCs/>
                <w:color w:val="auto"/>
                <w:kern w:val="1"/>
                <w:sz w:val="24"/>
                <w:szCs w:val="24"/>
                <w:highlight w:val="none"/>
                <w:lang w:val="en-US" w:eastAsia="zh-CN"/>
              </w:rPr>
              <w:t>磋商</w:t>
            </w:r>
            <w:r>
              <w:rPr>
                <w:rFonts w:hint="eastAsia" w:ascii="仿宋" w:hAnsi="仿宋" w:eastAsia="仿宋" w:cs="仿宋"/>
                <w:bCs/>
                <w:color w:val="auto"/>
                <w:kern w:val="1"/>
                <w:sz w:val="24"/>
                <w:szCs w:val="24"/>
                <w:highlight w:val="none"/>
              </w:rPr>
              <w:t>文件的要求一次性向采购代理机构缴纳招标代理服务费。</w:t>
            </w:r>
          </w:p>
        </w:tc>
      </w:tr>
      <w:tr w14:paraId="1A1A1AAD">
        <w:tblPrEx>
          <w:tblCellMar>
            <w:top w:w="0" w:type="dxa"/>
            <w:left w:w="0" w:type="dxa"/>
            <w:bottom w:w="0" w:type="dxa"/>
            <w:right w:w="0" w:type="dxa"/>
          </w:tblCellMar>
        </w:tblPrEx>
        <w:trPr>
          <w:trHeight w:val="84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144452FA">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10.2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8F10754">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kern w:val="1"/>
                <w:sz w:val="24"/>
                <w:szCs w:val="24"/>
                <w:highlight w:val="none"/>
                <w:lang w:val="en-US" w:eastAsia="zh-CN"/>
              </w:rPr>
            </w:pPr>
            <w:r>
              <w:rPr>
                <w:rFonts w:hint="eastAsia" w:ascii="仿宋" w:hAnsi="仿宋" w:eastAsia="仿宋" w:cs="仿宋"/>
                <w:bCs/>
                <w:color w:val="auto"/>
                <w:kern w:val="1"/>
                <w:sz w:val="24"/>
                <w:szCs w:val="24"/>
                <w:highlight w:val="none"/>
                <w:lang w:val="en-US" w:eastAsia="zh-CN"/>
              </w:rPr>
              <w:t>付款方式</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1BD15325">
            <w:pPr>
              <w:keepNext w:val="0"/>
              <w:keepLines w:val="0"/>
              <w:pageBreakBefore w:val="0"/>
              <w:kinsoku/>
              <w:overflowPunct/>
              <w:topLinePunct w:val="0"/>
              <w:bidi w:val="0"/>
              <w:snapToGrid/>
              <w:spacing w:beforeAutospacing="0" w:line="360" w:lineRule="auto"/>
              <w:rPr>
                <w:rFonts w:hint="eastAsia" w:ascii="仿宋" w:hAnsi="仿宋" w:eastAsia="仿宋" w:cs="仿宋"/>
                <w:bCs/>
                <w:color w:val="auto"/>
                <w:kern w:val="1"/>
                <w:sz w:val="24"/>
                <w:szCs w:val="24"/>
                <w:highlight w:val="none"/>
                <w:lang w:eastAsia="zh-CN"/>
              </w:rPr>
            </w:pPr>
            <w:r>
              <w:rPr>
                <w:rFonts w:hint="eastAsia" w:ascii="仿宋" w:hAnsi="仿宋" w:eastAsia="仿宋" w:cs="仿宋"/>
                <w:bCs/>
                <w:color w:val="auto"/>
                <w:kern w:val="1"/>
                <w:sz w:val="24"/>
                <w:szCs w:val="24"/>
                <w:highlight w:val="none"/>
                <w:lang w:eastAsia="zh-CN"/>
              </w:rPr>
              <w:t>合同签订并进场施工后，可支付到签约合同价的</w:t>
            </w:r>
            <w:r>
              <w:rPr>
                <w:rFonts w:hint="eastAsia" w:ascii="仿宋" w:hAnsi="仿宋" w:eastAsia="仿宋" w:cs="仿宋"/>
                <w:bCs/>
                <w:color w:val="auto"/>
                <w:kern w:val="1"/>
                <w:sz w:val="24"/>
                <w:szCs w:val="24"/>
                <w:highlight w:val="none"/>
                <w:lang w:val="en-US" w:eastAsia="zh-CN"/>
              </w:rPr>
              <w:t>5</w:t>
            </w:r>
            <w:r>
              <w:rPr>
                <w:rFonts w:hint="eastAsia" w:ascii="仿宋" w:hAnsi="仿宋" w:eastAsia="仿宋" w:cs="仿宋"/>
                <w:bCs/>
                <w:color w:val="auto"/>
                <w:kern w:val="1"/>
                <w:sz w:val="24"/>
                <w:szCs w:val="24"/>
                <w:highlight w:val="none"/>
                <w:lang w:eastAsia="zh-CN"/>
              </w:rPr>
              <w:t>0%，工程交工验收合格，可支付到签约合同价的</w:t>
            </w:r>
            <w:r>
              <w:rPr>
                <w:rFonts w:hint="eastAsia" w:ascii="仿宋" w:hAnsi="仿宋" w:eastAsia="仿宋" w:cs="仿宋"/>
                <w:bCs/>
                <w:color w:val="auto"/>
                <w:kern w:val="1"/>
                <w:sz w:val="24"/>
                <w:szCs w:val="24"/>
                <w:highlight w:val="none"/>
                <w:lang w:val="en-US" w:eastAsia="zh-CN"/>
              </w:rPr>
              <w:t>7</w:t>
            </w:r>
            <w:r>
              <w:rPr>
                <w:rFonts w:hint="eastAsia" w:ascii="仿宋" w:hAnsi="仿宋" w:eastAsia="仿宋" w:cs="仿宋"/>
                <w:bCs/>
                <w:color w:val="auto"/>
                <w:kern w:val="1"/>
                <w:sz w:val="24"/>
                <w:szCs w:val="24"/>
                <w:highlight w:val="none"/>
                <w:lang w:eastAsia="zh-CN"/>
              </w:rPr>
              <w:t>0%，工程结算审计完成后，可支付到审定工程款的97%，剩余款项一年后无息一次性付清。</w:t>
            </w:r>
          </w:p>
        </w:tc>
      </w:tr>
      <w:tr w14:paraId="61188997">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644AAD9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03EB11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本项目需要落实的政府采购政策</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51E7486">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w:t>
            </w:r>
          </w:p>
          <w:p w14:paraId="14DCB7AF">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为贯彻落实财库[2020]46号《政府采购促进中小企业发展管理办法》、财库[2022]19号《关于进一步加大政府采购支持中小企业力度的通知》、豫财购[2022]5号《河南省财政厅关于进一步做好政府采购支持中小企业发展有关事项的通知》、荥财字[2022]21号《荥阳市财政局关于政府采购支持稳经济促增长的通知》等文件，</w:t>
            </w:r>
            <w:r>
              <w:rPr>
                <w:rFonts w:hint="eastAsia" w:ascii="仿宋" w:hAnsi="仿宋" w:eastAsia="仿宋" w:cs="仿宋"/>
                <w:b/>
                <w:bCs/>
                <w:color w:val="auto"/>
                <w:kern w:val="2"/>
                <w:sz w:val="24"/>
                <w:szCs w:val="24"/>
                <w:highlight w:val="none"/>
                <w:lang w:val="en-US" w:eastAsia="zh-CN" w:bidi="ar-SA"/>
              </w:rPr>
              <w:t>本项目属于专门面向中小企业采购的项目</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仿宋" w:hAnsi="仿宋" w:eastAsia="仿宋" w:cs="仿宋"/>
                <w:b/>
                <w:bCs/>
                <w:color w:val="auto"/>
                <w:sz w:val="24"/>
                <w:szCs w:val="24"/>
                <w:highlight w:val="none"/>
              </w:rPr>
              <w:t>本次采购所属行业类别属于</w:t>
            </w:r>
            <w:r>
              <w:rPr>
                <w:rFonts w:hint="eastAsia" w:ascii="仿宋" w:hAnsi="仿宋" w:eastAsia="仿宋" w:cs="仿宋"/>
                <w:b/>
                <w:bCs/>
                <w:color w:val="auto"/>
                <w:sz w:val="24"/>
                <w:szCs w:val="24"/>
                <w:highlight w:val="none"/>
                <w:lang w:val="en-US" w:eastAsia="zh-CN"/>
              </w:rPr>
              <w:t>建筑业</w:t>
            </w:r>
            <w:r>
              <w:rPr>
                <w:rFonts w:hint="eastAsia" w:ascii="仿宋" w:hAnsi="仿宋" w:eastAsia="仿宋" w:cs="仿宋"/>
                <w:b/>
                <w:bCs/>
                <w:color w:val="auto"/>
                <w:sz w:val="24"/>
                <w:szCs w:val="24"/>
                <w:highlight w:val="none"/>
              </w:rPr>
              <w:t>。</w:t>
            </w:r>
          </w:p>
          <w:p w14:paraId="1514E133">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2E766D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14:paraId="40AB6EFD">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E2B84A">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FC7119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荥阳市政府采购合同融资政策告知函</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10F98BE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荥阳市政府采购合同融资政策告知函</w:t>
            </w:r>
          </w:p>
          <w:p w14:paraId="2409527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各供应商：</w:t>
            </w:r>
          </w:p>
          <w:p w14:paraId="1B5C7A0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欢迎贵公司参与荥阳市政府采购活动！</w:t>
            </w:r>
          </w:p>
          <w:p w14:paraId="7C41D9D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号）和《郑州市财政局关于加强和推进政府采购合同融资工作的通知》（郑财购〔2018〕4号），按照双方自愿的原则提供便捷、优惠的贷款服务。</w:t>
            </w:r>
          </w:p>
          <w:p w14:paraId="0C8044A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贷款渠道和提供贷款的金融机构，可在荥阳市政府采购网“荥阳市政府采购合同融资入口”或工作动态栏查询联系。</w:t>
            </w:r>
          </w:p>
        </w:tc>
      </w:tr>
      <w:tr w14:paraId="78B541AE">
        <w:tblPrEx>
          <w:tblCellMar>
            <w:top w:w="0" w:type="dxa"/>
            <w:left w:w="0" w:type="dxa"/>
            <w:bottom w:w="0" w:type="dxa"/>
            <w:right w:w="0" w:type="dxa"/>
          </w:tblCellMar>
        </w:tblPrEx>
        <w:trPr>
          <w:trHeight w:val="52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69FF21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E15FE6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4B6AD4F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3716B3F3">
            <w:pPr>
              <w:keepNext w:val="0"/>
              <w:keepLines w:val="0"/>
              <w:pageBreakBefore w:val="0"/>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开标会议结束之后，请各供应商保持在线状态，等候线上二次报价通知。</w:t>
            </w:r>
          </w:p>
        </w:tc>
      </w:tr>
      <w:tr w14:paraId="7388B3BC">
        <w:tblPrEx>
          <w:tblCellMar>
            <w:top w:w="0" w:type="dxa"/>
            <w:left w:w="0" w:type="dxa"/>
            <w:bottom w:w="0" w:type="dxa"/>
            <w:right w:w="0" w:type="dxa"/>
          </w:tblCellMar>
        </w:tblPrEx>
        <w:trPr>
          <w:trHeight w:val="51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457BBF4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09AF757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6693" w:type="dxa"/>
            <w:tcBorders>
              <w:top w:val="single" w:color="000000" w:sz="4" w:space="0"/>
              <w:left w:val="single" w:color="000000" w:sz="4" w:space="0"/>
              <w:bottom w:val="single" w:color="000000" w:sz="4" w:space="0"/>
              <w:right w:val="single" w:color="000000" w:sz="4" w:space="0"/>
            </w:tcBorders>
            <w:noWrap w:val="0"/>
            <w:vAlign w:val="center"/>
          </w:tcPr>
          <w:p w14:paraId="5DE6BA84">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未尽事宜，则按照《政府采购竞争性磋商采购方式管理暂行办法》等法律法规执行。</w:t>
            </w:r>
          </w:p>
          <w:p w14:paraId="512948FB">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供应商需独立制作、修改和上传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，若因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制作机器码与其他供应</w:t>
            </w:r>
            <w:r>
              <w:rPr>
                <w:rFonts w:hint="eastAsia" w:ascii="仿宋" w:hAnsi="仿宋" w:eastAsia="仿宋" w:cs="仿宋"/>
                <w:color w:val="auto"/>
                <w:sz w:val="24"/>
                <w:szCs w:val="24"/>
                <w:highlight w:val="none"/>
                <w:lang w:eastAsia="zh-CN"/>
              </w:rPr>
              <w:t>商一致，机器码一致的所有响应文件按无效文件处理，所造成的不良后果由供应商自行承担。</w:t>
            </w:r>
          </w:p>
          <w:p w14:paraId="0F9E98D5">
            <w:pPr>
              <w:keepNext w:val="0"/>
              <w:keepLines w:val="0"/>
              <w:pageBreakBefore w:val="0"/>
              <w:numPr>
                <w:ilvl w:val="0"/>
                <w:numId w:val="0"/>
              </w:numPr>
              <w:kinsoku/>
              <w:overflowPunct/>
              <w:topLinePunct w:val="0"/>
              <w:bidi w:val="0"/>
              <w:snapToGrid/>
              <w:spacing w:beforeAutospacing="0" w:line="360" w:lineRule="auto"/>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3.成交公告期后，成交人在领取成交通知书时向采购人提交与加密版投标文件完全一致的叁份纸质响应文件及壹份电子版（U盘）以供存档。</w:t>
            </w:r>
          </w:p>
        </w:tc>
      </w:tr>
    </w:tbl>
    <w:p w14:paraId="4F8F3217">
      <w:pPr>
        <w:pStyle w:val="49"/>
        <w:spacing w:before="0" w:line="360" w:lineRule="auto"/>
        <w:rPr>
          <w:rFonts w:hint="eastAsia" w:ascii="仿宋" w:hAnsi="仿宋" w:eastAsia="仿宋" w:cs="仿宋"/>
          <w:b/>
          <w:color w:val="auto"/>
          <w:sz w:val="24"/>
          <w:szCs w:val="24"/>
          <w:highlight w:val="none"/>
        </w:rPr>
      </w:pPr>
      <w:bookmarkStart w:id="62" w:name="_Toc152045529"/>
      <w:bookmarkStart w:id="63" w:name="_Toc144974497"/>
      <w:bookmarkStart w:id="64" w:name="_Toc152042305"/>
      <w:bookmarkStart w:id="65" w:name="_Toc8636"/>
      <w:bookmarkStart w:id="66" w:name="_Toc22280"/>
      <w:bookmarkStart w:id="67" w:name="_Toc5252"/>
      <w:bookmarkStart w:id="68" w:name="_Toc23752"/>
      <w:r>
        <w:rPr>
          <w:rFonts w:hint="eastAsia" w:ascii="仿宋" w:hAnsi="仿宋" w:eastAsia="仿宋" w:cs="仿宋"/>
          <w:b/>
          <w:color w:val="auto"/>
          <w:sz w:val="24"/>
          <w:szCs w:val="24"/>
          <w:highlight w:val="none"/>
        </w:rPr>
        <w:t>1. 总则</w:t>
      </w:r>
      <w:bookmarkEnd w:id="62"/>
      <w:bookmarkEnd w:id="63"/>
      <w:bookmarkEnd w:id="64"/>
      <w:bookmarkEnd w:id="65"/>
      <w:bookmarkEnd w:id="66"/>
      <w:bookmarkEnd w:id="67"/>
      <w:bookmarkEnd w:id="68"/>
    </w:p>
    <w:p w14:paraId="1EBCCF24">
      <w:pPr>
        <w:pStyle w:val="51"/>
        <w:spacing w:line="360" w:lineRule="auto"/>
        <w:outlineLvl w:val="0"/>
        <w:rPr>
          <w:rFonts w:hint="eastAsia" w:ascii="仿宋" w:hAnsi="仿宋" w:eastAsia="仿宋" w:cs="仿宋"/>
          <w:color w:val="auto"/>
          <w:sz w:val="24"/>
          <w:szCs w:val="24"/>
          <w:highlight w:val="none"/>
        </w:rPr>
      </w:pPr>
      <w:bookmarkStart w:id="69" w:name="_Toc18341"/>
      <w:bookmarkStart w:id="70" w:name="_Toc532034640"/>
      <w:bookmarkStart w:id="71" w:name="_Toc9545"/>
      <w:bookmarkStart w:id="72" w:name="_Toc29380"/>
      <w:bookmarkStart w:id="73" w:name="_Toc144974498"/>
      <w:bookmarkStart w:id="74" w:name="_Toc152045530"/>
      <w:bookmarkStart w:id="75" w:name="_Toc30682"/>
      <w:bookmarkStart w:id="76" w:name="_Toc152042306"/>
      <w:r>
        <w:rPr>
          <w:rFonts w:hint="eastAsia" w:ascii="仿宋" w:hAnsi="仿宋" w:eastAsia="仿宋" w:cs="仿宋"/>
          <w:color w:val="auto"/>
          <w:sz w:val="24"/>
          <w:szCs w:val="24"/>
          <w:highlight w:val="none"/>
        </w:rPr>
        <w:t>1.1 项目概况</w:t>
      </w:r>
      <w:bookmarkEnd w:id="69"/>
      <w:bookmarkEnd w:id="70"/>
      <w:bookmarkEnd w:id="71"/>
      <w:bookmarkEnd w:id="72"/>
      <w:bookmarkEnd w:id="73"/>
      <w:bookmarkEnd w:id="74"/>
      <w:bookmarkEnd w:id="75"/>
      <w:bookmarkEnd w:id="76"/>
    </w:p>
    <w:p w14:paraId="02F72A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《政府采购竞争性磋商采购方式管理暂行办法》等有关法律、法规和规章的规定，本采购项目已具备采购条件，现对本项目进行采购。</w:t>
      </w:r>
    </w:p>
    <w:p w14:paraId="53420E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本采购项目采购人：见供应商须知前附表。</w:t>
      </w:r>
    </w:p>
    <w:p w14:paraId="5B56D4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本项目采购代理机构：见供应商须知前附表。</w:t>
      </w:r>
    </w:p>
    <w:p w14:paraId="610441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本采购项目名称：见供应商须知前附表。</w:t>
      </w:r>
    </w:p>
    <w:p w14:paraId="180147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1.1.5本项目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地点：见供应商须知前附表。</w:t>
      </w:r>
    </w:p>
    <w:p w14:paraId="6E6B2BD6">
      <w:pPr>
        <w:pStyle w:val="51"/>
        <w:spacing w:line="360" w:lineRule="auto"/>
        <w:outlineLvl w:val="0"/>
        <w:rPr>
          <w:rFonts w:hint="eastAsia" w:ascii="仿宋" w:hAnsi="仿宋" w:eastAsia="仿宋" w:cs="仿宋"/>
          <w:color w:val="auto"/>
          <w:sz w:val="24"/>
          <w:szCs w:val="24"/>
          <w:highlight w:val="none"/>
        </w:rPr>
      </w:pPr>
      <w:bookmarkStart w:id="77" w:name="_Toc15477"/>
      <w:bookmarkStart w:id="78" w:name="_Toc10480"/>
      <w:bookmarkStart w:id="79" w:name="_Toc23695"/>
      <w:bookmarkStart w:id="80" w:name="_Toc152045531"/>
      <w:bookmarkStart w:id="81" w:name="_Toc144974499"/>
      <w:bookmarkStart w:id="82" w:name="_Toc532034641"/>
      <w:bookmarkStart w:id="83" w:name="_Toc152042307"/>
      <w:bookmarkStart w:id="84" w:name="_Toc12091"/>
      <w:r>
        <w:rPr>
          <w:rFonts w:hint="eastAsia" w:ascii="仿宋" w:hAnsi="仿宋" w:eastAsia="仿宋" w:cs="仿宋"/>
          <w:color w:val="auto"/>
          <w:sz w:val="24"/>
          <w:szCs w:val="24"/>
          <w:highlight w:val="none"/>
        </w:rPr>
        <w:t>1.2 资金来源和落实情况</w:t>
      </w:r>
      <w:bookmarkEnd w:id="77"/>
      <w:bookmarkEnd w:id="78"/>
      <w:bookmarkEnd w:id="79"/>
      <w:bookmarkEnd w:id="80"/>
      <w:bookmarkEnd w:id="81"/>
      <w:bookmarkEnd w:id="82"/>
      <w:bookmarkEnd w:id="83"/>
      <w:bookmarkEnd w:id="84"/>
    </w:p>
    <w:p w14:paraId="3ED1FD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本采购项目的资金来源：见供应商须知前附表。</w:t>
      </w:r>
    </w:p>
    <w:p w14:paraId="209507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本采购项目的出资比例：见供应商须知前附表。</w:t>
      </w:r>
    </w:p>
    <w:p w14:paraId="39A9BD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本采购项目的资金落实情况：见供应商须知前附表。</w:t>
      </w:r>
    </w:p>
    <w:p w14:paraId="57CE25AC">
      <w:pPr>
        <w:pStyle w:val="51"/>
        <w:spacing w:line="360" w:lineRule="auto"/>
        <w:outlineLvl w:val="0"/>
        <w:rPr>
          <w:rFonts w:hint="eastAsia" w:ascii="仿宋" w:hAnsi="仿宋" w:eastAsia="仿宋" w:cs="仿宋"/>
          <w:color w:val="auto"/>
          <w:sz w:val="24"/>
          <w:szCs w:val="24"/>
          <w:highlight w:val="none"/>
        </w:rPr>
      </w:pPr>
      <w:bookmarkStart w:id="85" w:name="_Toc144974500"/>
      <w:bookmarkStart w:id="86" w:name="_Toc152045532"/>
      <w:bookmarkStart w:id="87" w:name="_Toc152042308"/>
      <w:bookmarkStart w:id="88" w:name="_Toc19535"/>
      <w:bookmarkStart w:id="89" w:name="_Toc25747"/>
      <w:bookmarkStart w:id="90" w:name="_Toc13406"/>
      <w:bookmarkStart w:id="91" w:name="_Toc532034642"/>
      <w:bookmarkStart w:id="92" w:name="_Toc3519"/>
      <w:r>
        <w:rPr>
          <w:rFonts w:hint="eastAsia" w:ascii="仿宋" w:hAnsi="仿宋" w:eastAsia="仿宋" w:cs="仿宋"/>
          <w:color w:val="auto"/>
          <w:sz w:val="24"/>
          <w:szCs w:val="24"/>
          <w:highlight w:val="none"/>
        </w:rPr>
        <w:t>1.3 采购范围、</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和质量</w:t>
      </w:r>
      <w:bookmarkEnd w:id="85"/>
      <w:bookmarkEnd w:id="86"/>
      <w:bookmarkEnd w:id="87"/>
      <w:r>
        <w:rPr>
          <w:rFonts w:hint="eastAsia" w:ascii="仿宋" w:hAnsi="仿宋" w:eastAsia="仿宋" w:cs="仿宋"/>
          <w:color w:val="auto"/>
          <w:sz w:val="24"/>
          <w:szCs w:val="24"/>
          <w:highlight w:val="none"/>
        </w:rPr>
        <w:t>标准</w:t>
      </w:r>
      <w:bookmarkEnd w:id="88"/>
      <w:bookmarkEnd w:id="89"/>
      <w:bookmarkEnd w:id="90"/>
      <w:bookmarkEnd w:id="91"/>
      <w:bookmarkEnd w:id="92"/>
    </w:p>
    <w:p w14:paraId="2A8610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本次采购范围：见供应商须知前附表。</w:t>
      </w:r>
    </w:p>
    <w:p w14:paraId="6CE6DA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本项目的</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：见供应商前附表。</w:t>
      </w:r>
    </w:p>
    <w:p w14:paraId="61978C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本项目的质量标准：见供应商须知前附表。</w:t>
      </w:r>
    </w:p>
    <w:p w14:paraId="497E1784">
      <w:pPr>
        <w:pStyle w:val="51"/>
        <w:spacing w:line="360" w:lineRule="auto"/>
        <w:outlineLvl w:val="0"/>
        <w:rPr>
          <w:rFonts w:hint="eastAsia" w:ascii="仿宋" w:hAnsi="仿宋" w:eastAsia="仿宋" w:cs="仿宋"/>
          <w:color w:val="auto"/>
          <w:sz w:val="24"/>
          <w:szCs w:val="24"/>
          <w:highlight w:val="none"/>
        </w:rPr>
      </w:pPr>
      <w:bookmarkStart w:id="93" w:name="_Toc6427"/>
      <w:bookmarkStart w:id="94" w:name="_Toc29494"/>
      <w:bookmarkStart w:id="95" w:name="_Toc152042310"/>
      <w:bookmarkStart w:id="96" w:name="_Toc152045534"/>
      <w:bookmarkStart w:id="97" w:name="_Toc144974502"/>
      <w:bookmarkStart w:id="98" w:name="_Toc532034643"/>
      <w:bookmarkStart w:id="99" w:name="_Toc2941"/>
      <w:bookmarkStart w:id="100" w:name="_Toc2726"/>
      <w:r>
        <w:rPr>
          <w:rFonts w:hint="eastAsia" w:ascii="仿宋" w:hAnsi="仿宋" w:eastAsia="仿宋" w:cs="仿宋"/>
          <w:color w:val="auto"/>
          <w:sz w:val="24"/>
          <w:szCs w:val="24"/>
          <w:highlight w:val="none"/>
        </w:rPr>
        <w:t>1.4 供货商资格要求</w:t>
      </w:r>
      <w:bookmarkEnd w:id="93"/>
      <w:bookmarkEnd w:id="94"/>
      <w:bookmarkEnd w:id="95"/>
      <w:bookmarkEnd w:id="96"/>
      <w:bookmarkEnd w:id="97"/>
      <w:bookmarkEnd w:id="98"/>
      <w:bookmarkEnd w:id="99"/>
      <w:bookmarkEnd w:id="100"/>
    </w:p>
    <w:p w14:paraId="3D018707">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1.4.1供货商</w:t>
      </w:r>
      <w:r>
        <w:rPr>
          <w:rFonts w:hint="eastAsia" w:ascii="仿宋" w:hAnsi="仿宋" w:eastAsia="仿宋" w:cs="仿宋"/>
          <w:color w:val="auto"/>
          <w:kern w:val="0"/>
          <w:sz w:val="24"/>
          <w:szCs w:val="24"/>
          <w:highlight w:val="none"/>
        </w:rPr>
        <w:t>应具备承担本项目的资格要求：</w:t>
      </w:r>
      <w:r>
        <w:rPr>
          <w:rFonts w:hint="eastAsia" w:ascii="仿宋" w:hAnsi="仿宋" w:eastAsia="仿宋" w:cs="仿宋"/>
          <w:color w:val="auto"/>
          <w:sz w:val="24"/>
          <w:szCs w:val="24"/>
          <w:highlight w:val="none"/>
        </w:rPr>
        <w:t>详见</w:t>
      </w: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须知前附表；</w:t>
      </w:r>
    </w:p>
    <w:p w14:paraId="77FD69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本次采购不接受联合体投标。</w:t>
      </w:r>
    </w:p>
    <w:p w14:paraId="32A2D8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供应商不得存在下列情形之一：</w:t>
      </w:r>
    </w:p>
    <w:p w14:paraId="4EF19F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（1）为采购人不具有独立法人资格的附属机构（单位）；</w:t>
      </w:r>
    </w:p>
    <w:p w14:paraId="41CDE3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（2）为本标段前期准备提供设计或咨询服务的，但设计施工总承包的除外；</w:t>
      </w:r>
    </w:p>
    <w:p w14:paraId="238D18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（3）为本标段提供招标代理服务的；</w:t>
      </w:r>
    </w:p>
    <w:p w14:paraId="75B1B3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（4）被责令停业的；</w:t>
      </w:r>
    </w:p>
    <w:p w14:paraId="26CA87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（5）被暂停或取消投标资格的；</w:t>
      </w:r>
    </w:p>
    <w:p w14:paraId="0E1C37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（6）财产被接管或冻结的；</w:t>
      </w:r>
    </w:p>
    <w:p w14:paraId="4686CC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（7）在最近三年内有骗取中标或严重违约或重大工程质量问题的。</w:t>
      </w:r>
    </w:p>
    <w:p w14:paraId="7786E301">
      <w:pPr>
        <w:pStyle w:val="51"/>
        <w:spacing w:line="360" w:lineRule="auto"/>
        <w:outlineLvl w:val="0"/>
        <w:rPr>
          <w:rFonts w:hint="eastAsia" w:ascii="仿宋" w:hAnsi="仿宋" w:eastAsia="仿宋" w:cs="仿宋"/>
          <w:color w:val="auto"/>
          <w:sz w:val="24"/>
          <w:szCs w:val="24"/>
          <w:highlight w:val="none"/>
        </w:rPr>
      </w:pPr>
      <w:bookmarkStart w:id="101" w:name="_Toc152042311"/>
      <w:bookmarkStart w:id="102" w:name="_Toc532034644"/>
      <w:bookmarkStart w:id="103" w:name="_Toc3633"/>
      <w:bookmarkStart w:id="104" w:name="_Toc700"/>
      <w:bookmarkStart w:id="105" w:name="_Toc144974503"/>
      <w:bookmarkStart w:id="106" w:name="_Toc8518"/>
      <w:bookmarkStart w:id="107" w:name="_Toc152045535"/>
      <w:bookmarkStart w:id="108" w:name="_Toc24631"/>
      <w:r>
        <w:rPr>
          <w:rFonts w:hint="eastAsia" w:ascii="仿宋" w:hAnsi="仿宋" w:eastAsia="仿宋" w:cs="仿宋"/>
          <w:color w:val="auto"/>
          <w:sz w:val="24"/>
          <w:szCs w:val="24"/>
          <w:highlight w:val="none"/>
        </w:rPr>
        <w:t>1.5 费用承担</w:t>
      </w:r>
      <w:bookmarkEnd w:id="101"/>
      <w:bookmarkEnd w:id="102"/>
      <w:bookmarkEnd w:id="103"/>
      <w:bookmarkEnd w:id="104"/>
      <w:bookmarkEnd w:id="105"/>
      <w:bookmarkEnd w:id="106"/>
      <w:bookmarkEnd w:id="107"/>
      <w:bookmarkEnd w:id="108"/>
    </w:p>
    <w:p w14:paraId="7EC08041">
      <w:pPr>
        <w:spacing w:line="360" w:lineRule="auto"/>
        <w:ind w:firstLine="48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准备和参加投标活动发生的费用自理。</w:t>
      </w:r>
    </w:p>
    <w:p w14:paraId="2B2C1C08">
      <w:pPr>
        <w:pStyle w:val="51"/>
        <w:spacing w:line="360" w:lineRule="auto"/>
        <w:outlineLvl w:val="0"/>
        <w:rPr>
          <w:rFonts w:hint="eastAsia" w:ascii="仿宋" w:hAnsi="仿宋" w:eastAsia="仿宋" w:cs="仿宋"/>
          <w:color w:val="auto"/>
          <w:sz w:val="24"/>
          <w:szCs w:val="24"/>
          <w:highlight w:val="none"/>
        </w:rPr>
      </w:pPr>
      <w:bookmarkStart w:id="109" w:name="_Toc152042312"/>
      <w:bookmarkStart w:id="110" w:name="_Toc19869"/>
      <w:bookmarkStart w:id="111" w:name="_Toc14437"/>
      <w:bookmarkStart w:id="112" w:name="_Toc152045536"/>
      <w:bookmarkStart w:id="113" w:name="_Toc2957"/>
      <w:bookmarkStart w:id="114" w:name="_Toc144974504"/>
      <w:bookmarkStart w:id="115" w:name="_Toc532034645"/>
      <w:bookmarkStart w:id="116" w:name="_Toc24308"/>
      <w:r>
        <w:rPr>
          <w:rFonts w:hint="eastAsia" w:ascii="仿宋" w:hAnsi="仿宋" w:eastAsia="仿宋" w:cs="仿宋"/>
          <w:color w:val="auto"/>
          <w:sz w:val="24"/>
          <w:szCs w:val="24"/>
          <w:highlight w:val="none"/>
        </w:rPr>
        <w:t>1.6 保密</w:t>
      </w:r>
      <w:bookmarkEnd w:id="109"/>
      <w:bookmarkEnd w:id="110"/>
      <w:bookmarkEnd w:id="111"/>
      <w:bookmarkEnd w:id="112"/>
      <w:bookmarkEnd w:id="113"/>
      <w:bookmarkEnd w:id="114"/>
      <w:bookmarkEnd w:id="115"/>
      <w:bookmarkEnd w:id="116"/>
    </w:p>
    <w:p w14:paraId="1E4A94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参与采购投标活动的各方应对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中的商业和技术等秘密保密，违者应对由此造成的后果承担法律责任。</w:t>
      </w:r>
    </w:p>
    <w:p w14:paraId="2F471675">
      <w:pPr>
        <w:pStyle w:val="51"/>
        <w:spacing w:line="360" w:lineRule="auto"/>
        <w:outlineLvl w:val="0"/>
        <w:rPr>
          <w:rFonts w:hint="eastAsia" w:ascii="仿宋" w:hAnsi="仿宋" w:eastAsia="仿宋" w:cs="仿宋"/>
          <w:color w:val="auto"/>
          <w:sz w:val="24"/>
          <w:szCs w:val="24"/>
          <w:highlight w:val="none"/>
        </w:rPr>
      </w:pPr>
      <w:bookmarkStart w:id="117" w:name="_Toc144974505"/>
      <w:bookmarkStart w:id="118" w:name="_Toc152045537"/>
      <w:bookmarkStart w:id="119" w:name="_Toc19933"/>
      <w:bookmarkStart w:id="120" w:name="_Toc152042313"/>
      <w:bookmarkStart w:id="121" w:name="_Toc532034646"/>
      <w:bookmarkStart w:id="122" w:name="_Toc2652"/>
      <w:bookmarkStart w:id="123" w:name="_Toc18112"/>
      <w:bookmarkStart w:id="124" w:name="_Toc12872"/>
      <w:r>
        <w:rPr>
          <w:rFonts w:hint="eastAsia" w:ascii="仿宋" w:hAnsi="仿宋" w:eastAsia="仿宋" w:cs="仿宋"/>
          <w:color w:val="auto"/>
          <w:sz w:val="24"/>
          <w:szCs w:val="24"/>
          <w:highlight w:val="none"/>
        </w:rPr>
        <w:t>1.7 语言</w:t>
      </w:r>
      <w:bookmarkEnd w:id="117"/>
      <w:r>
        <w:rPr>
          <w:rFonts w:hint="eastAsia" w:ascii="仿宋" w:hAnsi="仿宋" w:eastAsia="仿宋" w:cs="仿宋"/>
          <w:color w:val="auto"/>
          <w:sz w:val="24"/>
          <w:szCs w:val="24"/>
          <w:highlight w:val="none"/>
        </w:rPr>
        <w:t>文字</w:t>
      </w:r>
      <w:bookmarkEnd w:id="118"/>
      <w:bookmarkEnd w:id="119"/>
      <w:bookmarkEnd w:id="120"/>
      <w:bookmarkEnd w:id="121"/>
      <w:bookmarkEnd w:id="122"/>
      <w:bookmarkEnd w:id="123"/>
      <w:bookmarkEnd w:id="124"/>
    </w:p>
    <w:p w14:paraId="6E2F2E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除专用术语外，与采购投标有关的语言均使用中文。必要时专用术语应附有中文注释。</w:t>
      </w:r>
    </w:p>
    <w:p w14:paraId="2687824E">
      <w:pPr>
        <w:pStyle w:val="51"/>
        <w:spacing w:line="360" w:lineRule="auto"/>
        <w:outlineLvl w:val="0"/>
        <w:rPr>
          <w:rFonts w:hint="eastAsia" w:ascii="仿宋" w:hAnsi="仿宋" w:eastAsia="仿宋" w:cs="仿宋"/>
          <w:color w:val="auto"/>
          <w:sz w:val="24"/>
          <w:szCs w:val="24"/>
          <w:highlight w:val="none"/>
        </w:rPr>
      </w:pPr>
      <w:bookmarkStart w:id="125" w:name="_Toc144974506"/>
      <w:bookmarkStart w:id="126" w:name="_Toc27851"/>
      <w:bookmarkStart w:id="127" w:name="_Toc532034647"/>
      <w:bookmarkStart w:id="128" w:name="_Toc15061"/>
      <w:bookmarkStart w:id="129" w:name="_Toc10194"/>
      <w:bookmarkStart w:id="130" w:name="_Toc152042314"/>
      <w:bookmarkStart w:id="131" w:name="_Toc152045538"/>
      <w:bookmarkStart w:id="132" w:name="_Toc24444"/>
      <w:r>
        <w:rPr>
          <w:rFonts w:hint="eastAsia" w:ascii="仿宋" w:hAnsi="仿宋" w:eastAsia="仿宋" w:cs="仿宋"/>
          <w:color w:val="auto"/>
          <w:sz w:val="24"/>
          <w:szCs w:val="24"/>
          <w:highlight w:val="none"/>
        </w:rPr>
        <w:t>1.8 计量单位</w:t>
      </w:r>
      <w:bookmarkEnd w:id="125"/>
      <w:bookmarkEnd w:id="126"/>
      <w:bookmarkEnd w:id="127"/>
      <w:bookmarkEnd w:id="128"/>
      <w:bookmarkEnd w:id="129"/>
      <w:bookmarkEnd w:id="130"/>
      <w:bookmarkEnd w:id="131"/>
      <w:bookmarkEnd w:id="132"/>
    </w:p>
    <w:p w14:paraId="3EF8B3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4A675D5C">
      <w:pPr>
        <w:pStyle w:val="51"/>
        <w:spacing w:line="360" w:lineRule="auto"/>
        <w:outlineLvl w:val="0"/>
        <w:rPr>
          <w:rFonts w:hint="eastAsia" w:ascii="仿宋" w:hAnsi="仿宋" w:eastAsia="仿宋" w:cs="仿宋"/>
          <w:color w:val="auto"/>
          <w:sz w:val="24"/>
          <w:szCs w:val="24"/>
          <w:highlight w:val="none"/>
        </w:rPr>
      </w:pPr>
      <w:bookmarkStart w:id="133" w:name="_Toc532034648"/>
      <w:bookmarkStart w:id="134" w:name="_Toc144974507"/>
      <w:bookmarkStart w:id="135" w:name="_Toc12166"/>
      <w:bookmarkStart w:id="136" w:name="_Toc21226"/>
      <w:bookmarkStart w:id="137" w:name="_Toc20921"/>
      <w:bookmarkStart w:id="138" w:name="_Toc152042315"/>
      <w:bookmarkStart w:id="139" w:name="_Toc152045539"/>
      <w:bookmarkStart w:id="140" w:name="_Toc28426"/>
      <w:r>
        <w:rPr>
          <w:rFonts w:hint="eastAsia" w:ascii="仿宋" w:hAnsi="仿宋" w:eastAsia="仿宋" w:cs="仿宋"/>
          <w:color w:val="auto"/>
          <w:sz w:val="24"/>
          <w:szCs w:val="24"/>
          <w:highlight w:val="none"/>
        </w:rPr>
        <w:t>1.9 踏勘现场</w:t>
      </w:r>
      <w:bookmarkEnd w:id="133"/>
      <w:bookmarkEnd w:id="134"/>
      <w:bookmarkEnd w:id="135"/>
      <w:bookmarkEnd w:id="136"/>
      <w:bookmarkEnd w:id="137"/>
      <w:bookmarkEnd w:id="138"/>
      <w:bookmarkEnd w:id="139"/>
      <w:bookmarkEnd w:id="140"/>
    </w:p>
    <w:p w14:paraId="33380F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bookmarkStart w:id="141" w:name="_Toc532034649"/>
      <w:bookmarkStart w:id="142" w:name="_Toc152045540"/>
      <w:bookmarkStart w:id="143" w:name="_Toc144974508"/>
      <w:bookmarkStart w:id="144" w:name="_Toc152042316"/>
    </w:p>
    <w:p w14:paraId="785669F2">
      <w:pPr>
        <w:pStyle w:val="51"/>
        <w:spacing w:line="360" w:lineRule="auto"/>
        <w:outlineLvl w:val="0"/>
        <w:rPr>
          <w:rFonts w:hint="eastAsia" w:ascii="仿宋" w:hAnsi="仿宋" w:eastAsia="仿宋" w:cs="仿宋"/>
          <w:color w:val="auto"/>
          <w:sz w:val="24"/>
          <w:szCs w:val="24"/>
          <w:highlight w:val="none"/>
        </w:rPr>
      </w:pPr>
      <w:bookmarkStart w:id="145" w:name="_Toc29962"/>
      <w:bookmarkStart w:id="146" w:name="_Toc4308"/>
      <w:bookmarkStart w:id="147" w:name="_Toc21569"/>
      <w:bookmarkStart w:id="148" w:name="_Toc7526"/>
      <w:r>
        <w:rPr>
          <w:rFonts w:hint="eastAsia" w:ascii="仿宋" w:hAnsi="仿宋" w:eastAsia="仿宋" w:cs="仿宋"/>
          <w:color w:val="auto"/>
          <w:sz w:val="24"/>
          <w:szCs w:val="24"/>
          <w:highlight w:val="none"/>
        </w:rPr>
        <w:t>1.10 投标预备会</w:t>
      </w:r>
      <w:bookmarkEnd w:id="141"/>
      <w:bookmarkEnd w:id="142"/>
      <w:bookmarkEnd w:id="143"/>
      <w:bookmarkEnd w:id="144"/>
      <w:bookmarkEnd w:id="145"/>
      <w:bookmarkEnd w:id="146"/>
      <w:bookmarkEnd w:id="147"/>
      <w:bookmarkEnd w:id="148"/>
      <w:bookmarkStart w:id="149" w:name="_Toc532034650"/>
      <w:bookmarkStart w:id="150" w:name="_Toc30593"/>
      <w:bookmarkStart w:id="151" w:name="_Toc152045541"/>
      <w:bookmarkStart w:id="152" w:name="_Toc144974509"/>
      <w:bookmarkStart w:id="153" w:name="_Toc152042317"/>
    </w:p>
    <w:p w14:paraId="461875D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不</w:t>
      </w:r>
      <w:bookmarkEnd w:id="149"/>
      <w:bookmarkEnd w:id="150"/>
      <w:bookmarkStart w:id="154" w:name="_Toc532034651"/>
      <w:r>
        <w:rPr>
          <w:rFonts w:hint="eastAsia" w:ascii="仿宋" w:hAnsi="仿宋" w:eastAsia="仿宋" w:cs="仿宋"/>
          <w:color w:val="auto"/>
          <w:sz w:val="24"/>
          <w:szCs w:val="24"/>
          <w:highlight w:val="none"/>
          <w:lang w:val="en-US" w:eastAsia="zh-CN"/>
        </w:rPr>
        <w:t>召开</w:t>
      </w:r>
    </w:p>
    <w:p w14:paraId="2B3B0EE4">
      <w:pPr>
        <w:pStyle w:val="51"/>
        <w:spacing w:line="360" w:lineRule="auto"/>
        <w:outlineLvl w:val="0"/>
        <w:rPr>
          <w:rFonts w:hint="eastAsia" w:ascii="仿宋" w:hAnsi="仿宋" w:eastAsia="仿宋" w:cs="仿宋"/>
          <w:color w:val="auto"/>
          <w:sz w:val="24"/>
          <w:szCs w:val="24"/>
          <w:highlight w:val="none"/>
        </w:rPr>
      </w:pPr>
      <w:bookmarkStart w:id="155" w:name="_Toc31129"/>
      <w:bookmarkStart w:id="156" w:name="_Toc19494"/>
      <w:bookmarkStart w:id="157" w:name="_Toc4325"/>
      <w:bookmarkStart w:id="158" w:name="_Toc17800"/>
      <w:r>
        <w:rPr>
          <w:rFonts w:hint="eastAsia" w:ascii="仿宋" w:hAnsi="仿宋" w:eastAsia="仿宋" w:cs="仿宋"/>
          <w:color w:val="auto"/>
          <w:sz w:val="24"/>
          <w:szCs w:val="24"/>
          <w:highlight w:val="none"/>
        </w:rPr>
        <w:t>1.11 分包</w:t>
      </w:r>
      <w:bookmarkEnd w:id="151"/>
      <w:bookmarkEnd w:id="152"/>
      <w:bookmarkEnd w:id="153"/>
      <w:bookmarkEnd w:id="154"/>
      <w:bookmarkEnd w:id="155"/>
      <w:bookmarkEnd w:id="156"/>
      <w:bookmarkEnd w:id="157"/>
      <w:bookmarkEnd w:id="158"/>
      <w:bookmarkStart w:id="159" w:name="_Toc21720"/>
      <w:bookmarkStart w:id="160" w:name="_Toc532034652"/>
    </w:p>
    <w:p w14:paraId="5441DA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bookmarkEnd w:id="159"/>
      <w:bookmarkEnd w:id="160"/>
      <w:bookmarkStart w:id="161" w:name="_Toc532034653"/>
    </w:p>
    <w:p w14:paraId="273F6222">
      <w:pPr>
        <w:pStyle w:val="51"/>
        <w:spacing w:line="360" w:lineRule="auto"/>
        <w:outlineLvl w:val="0"/>
        <w:rPr>
          <w:rFonts w:hint="eastAsia" w:ascii="仿宋" w:hAnsi="仿宋" w:eastAsia="仿宋" w:cs="仿宋"/>
          <w:color w:val="auto"/>
          <w:sz w:val="24"/>
          <w:szCs w:val="24"/>
          <w:highlight w:val="none"/>
        </w:rPr>
      </w:pPr>
      <w:bookmarkStart w:id="162" w:name="_Toc191"/>
      <w:bookmarkStart w:id="163" w:name="_Toc22128"/>
      <w:bookmarkStart w:id="164" w:name="_Toc23455"/>
      <w:bookmarkStart w:id="165" w:name="_Toc30608"/>
      <w:r>
        <w:rPr>
          <w:rFonts w:hint="eastAsia" w:ascii="仿宋" w:hAnsi="仿宋" w:eastAsia="仿宋" w:cs="仿宋"/>
          <w:color w:val="auto"/>
          <w:sz w:val="24"/>
          <w:szCs w:val="24"/>
          <w:highlight w:val="none"/>
        </w:rPr>
        <w:t>1.12 偏离</w:t>
      </w:r>
      <w:bookmarkEnd w:id="161"/>
      <w:bookmarkEnd w:id="162"/>
      <w:bookmarkEnd w:id="163"/>
      <w:bookmarkEnd w:id="164"/>
      <w:bookmarkEnd w:id="165"/>
      <w:bookmarkStart w:id="166" w:name="_Toc12632"/>
      <w:bookmarkStart w:id="167" w:name="_Toc532034654"/>
      <w:bookmarkStart w:id="168" w:name="_Toc152045542"/>
      <w:bookmarkStart w:id="169" w:name="_Toc152042318"/>
      <w:bookmarkStart w:id="170" w:name="_Toc144974510"/>
    </w:p>
    <w:p w14:paraId="1FBA2F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w:t>
      </w:r>
      <w:bookmarkEnd w:id="166"/>
      <w:bookmarkEnd w:id="167"/>
    </w:p>
    <w:p w14:paraId="25C7D764">
      <w:pPr>
        <w:pStyle w:val="49"/>
        <w:spacing w:before="0" w:line="360" w:lineRule="auto"/>
        <w:rPr>
          <w:rFonts w:hint="eastAsia" w:ascii="仿宋" w:hAnsi="仿宋" w:eastAsia="仿宋" w:cs="仿宋"/>
          <w:b/>
          <w:color w:val="auto"/>
          <w:sz w:val="24"/>
          <w:szCs w:val="24"/>
          <w:highlight w:val="none"/>
          <w:lang w:eastAsia="zh-CN"/>
        </w:rPr>
      </w:pPr>
      <w:bookmarkStart w:id="171" w:name="_Toc742"/>
      <w:bookmarkStart w:id="172" w:name="_Toc4614"/>
      <w:bookmarkStart w:id="173" w:name="_Toc32217"/>
      <w:bookmarkStart w:id="174" w:name="_Toc13698"/>
      <w:r>
        <w:rPr>
          <w:rFonts w:hint="eastAsia" w:ascii="仿宋" w:hAnsi="仿宋" w:eastAsia="仿宋" w:cs="仿宋"/>
          <w:b/>
          <w:color w:val="auto"/>
          <w:sz w:val="24"/>
          <w:szCs w:val="24"/>
          <w:highlight w:val="none"/>
        </w:rPr>
        <w:t xml:space="preserve">2. </w:t>
      </w:r>
      <w:bookmarkEnd w:id="168"/>
      <w:bookmarkEnd w:id="169"/>
      <w:bookmarkEnd w:id="170"/>
      <w:r>
        <w:rPr>
          <w:rFonts w:hint="eastAsia" w:ascii="仿宋" w:hAnsi="仿宋" w:eastAsia="仿宋" w:cs="仿宋"/>
          <w:b/>
          <w:color w:val="auto"/>
          <w:sz w:val="24"/>
          <w:szCs w:val="24"/>
          <w:highlight w:val="none"/>
          <w:lang w:eastAsia="zh-CN"/>
        </w:rPr>
        <w:t>磋商文件</w:t>
      </w:r>
      <w:bookmarkEnd w:id="171"/>
      <w:bookmarkEnd w:id="172"/>
      <w:bookmarkEnd w:id="173"/>
      <w:bookmarkEnd w:id="174"/>
    </w:p>
    <w:p w14:paraId="6C2B5AD6">
      <w:pPr>
        <w:pStyle w:val="51"/>
        <w:spacing w:line="360" w:lineRule="auto"/>
        <w:outlineLvl w:val="0"/>
        <w:rPr>
          <w:rFonts w:hint="eastAsia" w:ascii="仿宋" w:hAnsi="仿宋" w:eastAsia="仿宋" w:cs="仿宋"/>
          <w:color w:val="auto"/>
          <w:sz w:val="24"/>
          <w:szCs w:val="24"/>
          <w:highlight w:val="none"/>
        </w:rPr>
      </w:pPr>
      <w:bookmarkStart w:id="175" w:name="_Toc23944"/>
      <w:bookmarkStart w:id="176" w:name="_Toc8110"/>
      <w:bookmarkStart w:id="177" w:name="_Toc1427"/>
      <w:bookmarkStart w:id="178" w:name="_Toc144974511"/>
      <w:bookmarkStart w:id="179" w:name="_Toc152042319"/>
      <w:bookmarkStart w:id="180" w:name="_Toc532034656"/>
      <w:bookmarkStart w:id="181" w:name="_Toc152045543"/>
      <w:bookmarkStart w:id="182" w:name="_Toc23367"/>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w:t>
      </w:r>
      <w:bookmarkEnd w:id="175"/>
      <w:bookmarkEnd w:id="176"/>
      <w:bookmarkEnd w:id="177"/>
      <w:bookmarkEnd w:id="178"/>
      <w:bookmarkEnd w:id="179"/>
      <w:bookmarkEnd w:id="180"/>
      <w:bookmarkEnd w:id="181"/>
      <w:bookmarkEnd w:id="182"/>
    </w:p>
    <w:p w14:paraId="64EA82DC">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w:t>
      </w:r>
    </w:p>
    <w:p w14:paraId="24EC95C3">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公告</w:t>
      </w:r>
    </w:p>
    <w:p w14:paraId="50FA25BA">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14:paraId="18570747">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办法；</w:t>
      </w:r>
    </w:p>
    <w:p w14:paraId="563F5AEA">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14:paraId="51C024DB">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（5）工程量清单；</w:t>
      </w:r>
    </w:p>
    <w:p w14:paraId="6B1BB19D">
      <w:pPr>
        <w:tabs>
          <w:tab w:val="left" w:pos="1260"/>
        </w:tabs>
        <w:autoSpaceDE w:val="0"/>
        <w:autoSpaceDN w:val="0"/>
        <w:adjustRightInd w:val="0"/>
        <w:spacing w:line="360" w:lineRule="auto"/>
        <w:ind w:firstLine="484" w:firstLineChars="202"/>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（6）图纸</w:t>
      </w:r>
    </w:p>
    <w:p w14:paraId="67AEE618">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zh-CN" w:eastAsia="zh-CN" w:bidi="ar-SA"/>
        </w:rPr>
        <w:t>技术标准和要求</w:t>
      </w:r>
      <w:r>
        <w:rPr>
          <w:rFonts w:hint="eastAsia" w:ascii="仿宋" w:hAnsi="仿宋" w:eastAsia="仿宋" w:cs="仿宋"/>
          <w:color w:val="auto"/>
          <w:kern w:val="2"/>
          <w:sz w:val="24"/>
          <w:szCs w:val="24"/>
          <w:highlight w:val="none"/>
          <w:lang w:val="en-US" w:eastAsia="zh-CN" w:bidi="ar-SA"/>
        </w:rPr>
        <w:t>；</w:t>
      </w:r>
    </w:p>
    <w:p w14:paraId="5FE3D3F1">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（8）响应文件格式；</w:t>
      </w:r>
    </w:p>
    <w:p w14:paraId="7F593E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根据本章第1.10款、第2.2款和第2.3款对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所作的澄清、修改，构成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14:paraId="20ADD8DF">
      <w:pPr>
        <w:pStyle w:val="51"/>
        <w:spacing w:line="360" w:lineRule="auto"/>
        <w:outlineLvl w:val="0"/>
        <w:rPr>
          <w:rFonts w:hint="eastAsia" w:ascii="仿宋" w:hAnsi="仿宋" w:eastAsia="仿宋" w:cs="仿宋"/>
          <w:color w:val="auto"/>
          <w:sz w:val="24"/>
          <w:szCs w:val="24"/>
          <w:highlight w:val="none"/>
        </w:rPr>
      </w:pPr>
      <w:bookmarkStart w:id="183" w:name="_Toc152045544"/>
      <w:bookmarkStart w:id="184" w:name="_Toc532034657"/>
      <w:bookmarkStart w:id="185" w:name="_Toc1229"/>
      <w:bookmarkStart w:id="186" w:name="_Toc144974512"/>
      <w:bookmarkStart w:id="187" w:name="_Toc17993"/>
      <w:bookmarkStart w:id="188" w:name="_Toc9630"/>
      <w:bookmarkStart w:id="189" w:name="_Toc152042320"/>
      <w:bookmarkStart w:id="190" w:name="_Toc628"/>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w:t>
      </w:r>
      <w:bookmarkEnd w:id="183"/>
      <w:bookmarkEnd w:id="184"/>
      <w:bookmarkEnd w:id="185"/>
      <w:bookmarkEnd w:id="186"/>
      <w:bookmarkEnd w:id="187"/>
      <w:bookmarkEnd w:id="188"/>
      <w:bookmarkEnd w:id="189"/>
      <w:bookmarkEnd w:id="190"/>
    </w:p>
    <w:p w14:paraId="3780CFE5">
      <w:pPr>
        <w:spacing w:line="360" w:lineRule="auto"/>
        <w:ind w:firstLine="480" w:firstLineChars="200"/>
        <w:rPr>
          <w:rFonts w:hint="eastAsia" w:ascii="仿宋" w:hAnsi="仿宋" w:eastAsia="仿宋" w:cs="仿宋"/>
          <w:color w:val="auto"/>
          <w:sz w:val="24"/>
          <w:szCs w:val="24"/>
          <w:highlight w:val="none"/>
        </w:rPr>
      </w:pPr>
      <w:bookmarkStart w:id="191" w:name="_Toc6732"/>
      <w:bookmarkStart w:id="192" w:name="_Toc152045545"/>
      <w:bookmarkStart w:id="193" w:name="_Toc152042321"/>
      <w:bookmarkStart w:id="194" w:name="_Toc144974513"/>
      <w:bookmarkStart w:id="195" w:name="_Toc152042322"/>
      <w:bookmarkStart w:id="196" w:name="_Toc144974514"/>
      <w:bookmarkStart w:id="197" w:name="_Toc152045546"/>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须知前附表规定的时间前以书面形式（包括信函、电报、传真等可以有形地表现所载内容的形式，下同），要求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对磋商文件予以澄清，否则由此引起的任何后果均由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自己承担，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均不承担任何责任。</w:t>
      </w:r>
    </w:p>
    <w:p w14:paraId="3E3C0EC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磋商文件的澄清将在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须知前附表规定的提交响应文件截止时间5天前通过“荥阳市公共资源交易中心平台”发给所有</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w:t>
      </w:r>
      <w:r>
        <w:rPr>
          <w:rFonts w:hint="eastAsia" w:ascii="仿宋" w:hAnsi="仿宋" w:eastAsia="仿宋" w:cs="仿宋"/>
          <w:color w:val="auto"/>
          <w:sz w:val="24"/>
          <w:szCs w:val="24"/>
          <w:highlight w:val="none"/>
          <w:lang w:eastAsia="zh-CN"/>
        </w:rPr>
        <w:t>。</w:t>
      </w:r>
    </w:p>
    <w:p w14:paraId="4597EAA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5922B75E">
      <w:pPr>
        <w:pStyle w:val="51"/>
        <w:spacing w:line="360" w:lineRule="auto"/>
        <w:outlineLvl w:val="0"/>
        <w:rPr>
          <w:rFonts w:hint="eastAsia" w:ascii="仿宋" w:hAnsi="仿宋" w:eastAsia="仿宋" w:cs="仿宋"/>
          <w:color w:val="auto"/>
          <w:sz w:val="24"/>
          <w:szCs w:val="24"/>
          <w:highlight w:val="none"/>
        </w:rPr>
      </w:pPr>
      <w:bookmarkStart w:id="198" w:name="_Toc28594"/>
      <w:bookmarkStart w:id="199" w:name="_Toc22646"/>
      <w:bookmarkStart w:id="200" w:name="_Toc11514"/>
      <w:bookmarkStart w:id="201" w:name="_Toc19567"/>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的修改</w:t>
      </w:r>
      <w:bookmarkEnd w:id="191"/>
      <w:bookmarkEnd w:id="192"/>
      <w:bookmarkEnd w:id="193"/>
      <w:bookmarkEnd w:id="194"/>
      <w:bookmarkEnd w:id="198"/>
      <w:bookmarkEnd w:id="199"/>
      <w:bookmarkEnd w:id="200"/>
      <w:bookmarkEnd w:id="201"/>
    </w:p>
    <w:p w14:paraId="54BC34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在提交响应文件截止5天前，</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可以书面形式修改磋商文件，并通过“荥阳市公共资源交易中心平台”通知所有已</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。如果修改磋商文件的时间距提交响应文件截止时间不足5天，相应延长提交响应文件截止时间。</w:t>
      </w:r>
    </w:p>
    <w:p w14:paraId="3EC84A90">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bookmarkStart w:id="202" w:name="_Toc31734"/>
      <w:bookmarkStart w:id="203" w:name="_Toc21595"/>
      <w:bookmarkStart w:id="204" w:name="_Toc14329"/>
    </w:p>
    <w:bookmarkEnd w:id="195"/>
    <w:bookmarkEnd w:id="196"/>
    <w:bookmarkEnd w:id="197"/>
    <w:p w14:paraId="4415D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响应文件</w:t>
      </w:r>
      <w:bookmarkEnd w:id="202"/>
      <w:bookmarkEnd w:id="203"/>
      <w:bookmarkEnd w:id="204"/>
      <w:bookmarkStart w:id="205" w:name="_Toc32008"/>
      <w:bookmarkStart w:id="206" w:name="_Toc152042323"/>
      <w:bookmarkStart w:id="207" w:name="_Toc25805"/>
      <w:bookmarkStart w:id="208" w:name="_Toc16017"/>
      <w:bookmarkStart w:id="209" w:name="_Toc144974515"/>
      <w:bookmarkStart w:id="210" w:name="_Toc152045547"/>
      <w:bookmarkStart w:id="211" w:name="_Toc532034660"/>
    </w:p>
    <w:p w14:paraId="07C9B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w:t>
      </w:r>
      <w:bookmarkEnd w:id="205"/>
      <w:bookmarkEnd w:id="206"/>
      <w:bookmarkEnd w:id="207"/>
      <w:bookmarkEnd w:id="208"/>
      <w:bookmarkEnd w:id="209"/>
      <w:bookmarkEnd w:id="210"/>
      <w:bookmarkEnd w:id="211"/>
    </w:p>
    <w:p w14:paraId="510EE9B5">
      <w:pPr>
        <w:pStyle w:val="24"/>
        <w:tabs>
          <w:tab w:val="left" w:pos="1260"/>
          <w:tab w:val="left" w:pos="1455"/>
        </w:tabs>
        <w:adjustRightInd/>
        <w:spacing w:before="0" w:after="0" w:line="360" w:lineRule="auto"/>
        <w:ind w:right="-63" w:rightChars="-30" w:firstLine="480" w:firstLineChars="200"/>
        <w:jc w:val="both"/>
        <w:textAlignment w:val="auto"/>
        <w:outlineLvl w:val="9"/>
        <w:rPr>
          <w:rFonts w:hint="eastAsia" w:ascii="仿宋" w:hAnsi="仿宋" w:eastAsia="仿宋" w:cs="仿宋"/>
          <w:color w:val="auto"/>
          <w:sz w:val="24"/>
          <w:szCs w:val="24"/>
          <w:highlight w:val="none"/>
        </w:rPr>
      </w:pPr>
      <w:bookmarkStart w:id="212" w:name="_Toc3035"/>
      <w:bookmarkStart w:id="213" w:name="_Toc20961"/>
      <w:bookmarkStart w:id="214" w:name="_Toc12446"/>
      <w:bookmarkStart w:id="215" w:name="_Toc532034661"/>
      <w:bookmarkStart w:id="216" w:name="_Toc256519658"/>
      <w:bookmarkStart w:id="217" w:name="_Toc4356"/>
      <w:bookmarkStart w:id="218" w:name="_Toc152045548"/>
      <w:bookmarkStart w:id="219" w:name="_Toc144974516"/>
      <w:bookmarkStart w:id="220" w:name="_Toc152042324"/>
      <w:r>
        <w:rPr>
          <w:rFonts w:hint="eastAsia" w:ascii="仿宋" w:hAnsi="仿宋" w:eastAsia="仿宋" w:cs="仿宋"/>
          <w:b w:val="0"/>
          <w:color w:val="auto"/>
          <w:sz w:val="24"/>
          <w:szCs w:val="24"/>
          <w:highlight w:val="none"/>
        </w:rPr>
        <w:t>3.1.1</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应包括下列内容：</w:t>
      </w:r>
      <w:bookmarkEnd w:id="212"/>
      <w:bookmarkEnd w:id="213"/>
      <w:bookmarkEnd w:id="214"/>
      <w:bookmarkEnd w:id="215"/>
      <w:bookmarkEnd w:id="216"/>
      <w:bookmarkEnd w:id="217"/>
    </w:p>
    <w:p w14:paraId="5C40BD74">
      <w:pPr>
        <w:spacing w:line="360" w:lineRule="auto"/>
        <w:ind w:firstLine="480" w:firstLineChars="200"/>
        <w:rPr>
          <w:rFonts w:hint="eastAsia" w:ascii="仿宋" w:hAnsi="仿宋" w:eastAsia="仿宋" w:cs="仿宋"/>
          <w:color w:val="auto"/>
          <w:sz w:val="24"/>
          <w:szCs w:val="24"/>
          <w:highlight w:val="none"/>
        </w:rPr>
      </w:pPr>
      <w:bookmarkStart w:id="221" w:name="_Toc532034662"/>
      <w:bookmarkStart w:id="222" w:name="_Toc1183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03EE93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693BF1D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50B55C6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已标价工程量清单</w:t>
      </w:r>
    </w:p>
    <w:p w14:paraId="195B02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5A09A2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、技术文件</w:t>
      </w:r>
    </w:p>
    <w:p w14:paraId="5515CC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七、项目管理机构</w:t>
      </w:r>
    </w:p>
    <w:p w14:paraId="3A7C6A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5E33FE93">
      <w:pPr>
        <w:pStyle w:val="51"/>
        <w:spacing w:line="360" w:lineRule="auto"/>
        <w:outlineLvl w:val="0"/>
        <w:rPr>
          <w:rFonts w:hint="eastAsia" w:ascii="仿宋" w:hAnsi="仿宋" w:eastAsia="仿宋" w:cs="仿宋"/>
          <w:color w:val="auto"/>
          <w:sz w:val="24"/>
          <w:szCs w:val="24"/>
          <w:highlight w:val="none"/>
        </w:rPr>
      </w:pPr>
      <w:bookmarkStart w:id="223" w:name="_Toc1817"/>
      <w:bookmarkStart w:id="224" w:name="_Toc20315"/>
      <w:bookmarkStart w:id="225" w:name="_Toc29179"/>
      <w:r>
        <w:rPr>
          <w:rFonts w:hint="eastAsia" w:ascii="仿宋" w:hAnsi="仿宋" w:eastAsia="仿宋" w:cs="仿宋"/>
          <w:color w:val="auto"/>
          <w:sz w:val="24"/>
          <w:szCs w:val="24"/>
          <w:highlight w:val="none"/>
        </w:rPr>
        <w:t>3.2 投标报价</w:t>
      </w:r>
      <w:bookmarkEnd w:id="218"/>
      <w:bookmarkEnd w:id="219"/>
      <w:bookmarkEnd w:id="220"/>
      <w:bookmarkEnd w:id="221"/>
      <w:bookmarkEnd w:id="222"/>
      <w:bookmarkEnd w:id="223"/>
      <w:bookmarkEnd w:id="224"/>
      <w:bookmarkEnd w:id="225"/>
    </w:p>
    <w:p w14:paraId="6D710BD1">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26" w:name="_Toc25581"/>
      <w:bookmarkStart w:id="227" w:name="_Toc686"/>
      <w:bookmarkStart w:id="228" w:name="_Toc14685"/>
      <w:bookmarkStart w:id="229" w:name="_Toc144974517"/>
      <w:bookmarkStart w:id="230" w:name="_Toc532034663"/>
      <w:bookmarkStart w:id="231" w:name="_Toc152045549"/>
      <w:bookmarkStart w:id="232" w:name="_Toc13404"/>
      <w:bookmarkStart w:id="233" w:name="_Toc29629"/>
      <w:bookmarkStart w:id="234" w:name="_Toc152042325"/>
      <w:r>
        <w:rPr>
          <w:rFonts w:hint="eastAsia" w:ascii="仿宋" w:hAnsi="仿宋" w:eastAsia="仿宋" w:cs="仿宋"/>
          <w:color w:val="auto"/>
          <w:sz w:val="24"/>
          <w:szCs w:val="24"/>
          <w:highlight w:val="none"/>
          <w:lang w:val="en-US" w:eastAsia="zh-CN"/>
        </w:rPr>
        <w:t>3.2.1 响应报价应包括国家规定的增值税税金，除供应商须知前附表另有规定外，增值税税金按一般计税方法计算。供应商应按第八章“响应文件格式”的要求在投标函中进行报价。</w:t>
      </w:r>
      <w:bookmarkEnd w:id="226"/>
    </w:p>
    <w:p w14:paraId="7773BC47">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5" w:name="_Toc24363"/>
      <w:r>
        <w:rPr>
          <w:rFonts w:hint="eastAsia" w:ascii="仿宋" w:hAnsi="仿宋" w:eastAsia="仿宋" w:cs="仿宋"/>
          <w:color w:val="auto"/>
          <w:sz w:val="24"/>
          <w:szCs w:val="24"/>
          <w:highlight w:val="none"/>
          <w:lang w:val="en-US" w:eastAsia="zh-CN"/>
        </w:rPr>
        <w:t>3.2.2 供应商应充分了解该项目的总体情况以及影响投标报价的其他要素。</w:t>
      </w:r>
      <w:bookmarkEnd w:id="235"/>
    </w:p>
    <w:p w14:paraId="76E0999F">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6" w:name="_Toc32358"/>
      <w:r>
        <w:rPr>
          <w:rFonts w:hint="eastAsia" w:ascii="仿宋" w:hAnsi="仿宋" w:eastAsia="仿宋" w:cs="仿宋"/>
          <w:color w:val="auto"/>
          <w:sz w:val="24"/>
          <w:szCs w:val="24"/>
          <w:highlight w:val="none"/>
          <w:lang w:val="en-US" w:eastAsia="zh-CN"/>
        </w:rPr>
        <w:t>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分项报价表”中的相应报价。此修改须符合本章第 4.3 款的有关要求。</w:t>
      </w:r>
      <w:bookmarkEnd w:id="236"/>
    </w:p>
    <w:p w14:paraId="14A2E5B9">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7" w:name="_Toc8513"/>
      <w:r>
        <w:rPr>
          <w:rFonts w:hint="eastAsia" w:ascii="仿宋" w:hAnsi="仿宋" w:eastAsia="仿宋" w:cs="仿宋"/>
          <w:color w:val="auto"/>
          <w:sz w:val="24"/>
          <w:szCs w:val="24"/>
          <w:highlight w:val="none"/>
          <w:lang w:val="en-US" w:eastAsia="zh-CN"/>
        </w:rPr>
        <w:t>3.2.4 采购人设有最高投标限价的，供应商的投标报价不得超过最高投标限价，最高投标限价在供应商须知前附表中载明。</w:t>
      </w:r>
      <w:bookmarkEnd w:id="237"/>
    </w:p>
    <w:p w14:paraId="1CF3E40D">
      <w:pPr>
        <w:spacing w:line="360" w:lineRule="auto"/>
        <w:ind w:firstLine="480" w:firstLineChars="200"/>
        <w:outlineLvl w:val="0"/>
        <w:rPr>
          <w:rFonts w:hint="eastAsia" w:ascii="仿宋" w:hAnsi="仿宋" w:eastAsia="仿宋" w:cs="仿宋"/>
          <w:color w:val="auto"/>
          <w:sz w:val="24"/>
          <w:szCs w:val="24"/>
          <w:highlight w:val="none"/>
          <w:lang w:val="en-US" w:eastAsia="zh-CN"/>
        </w:rPr>
      </w:pPr>
      <w:bookmarkStart w:id="238" w:name="_Toc23735"/>
      <w:r>
        <w:rPr>
          <w:rFonts w:hint="eastAsia" w:ascii="仿宋" w:hAnsi="仿宋" w:eastAsia="仿宋" w:cs="仿宋"/>
          <w:color w:val="auto"/>
          <w:sz w:val="24"/>
          <w:szCs w:val="24"/>
          <w:highlight w:val="none"/>
          <w:lang w:val="en-US" w:eastAsia="zh-CN"/>
        </w:rPr>
        <w:t>3.2.5 投标报价的其他要求见供应商须知前附表。</w:t>
      </w:r>
      <w:bookmarkEnd w:id="238"/>
    </w:p>
    <w:p w14:paraId="2B243C9E">
      <w:pPr>
        <w:spacing w:line="360" w:lineRule="auto"/>
        <w:outlineLvl w:val="0"/>
        <w:rPr>
          <w:rFonts w:hint="eastAsia" w:ascii="仿宋" w:hAnsi="仿宋" w:eastAsia="仿宋" w:cs="仿宋"/>
          <w:color w:val="auto"/>
          <w:sz w:val="24"/>
          <w:szCs w:val="24"/>
          <w:highlight w:val="none"/>
          <w:lang w:eastAsia="zh-CN"/>
        </w:rPr>
      </w:pPr>
      <w:bookmarkStart w:id="239" w:name="_Toc3376"/>
      <w:r>
        <w:rPr>
          <w:rFonts w:hint="eastAsia" w:ascii="仿宋" w:hAnsi="仿宋" w:eastAsia="仿宋" w:cs="仿宋"/>
          <w:color w:val="auto"/>
          <w:sz w:val="24"/>
          <w:szCs w:val="24"/>
          <w:highlight w:val="none"/>
        </w:rPr>
        <w:t xml:space="preserve">3.3 </w:t>
      </w:r>
      <w:bookmarkEnd w:id="227"/>
      <w:bookmarkEnd w:id="228"/>
      <w:bookmarkEnd w:id="229"/>
      <w:bookmarkEnd w:id="230"/>
      <w:bookmarkEnd w:id="231"/>
      <w:bookmarkEnd w:id="232"/>
      <w:bookmarkEnd w:id="233"/>
      <w:bookmarkEnd w:id="234"/>
      <w:r>
        <w:rPr>
          <w:rFonts w:hint="eastAsia" w:ascii="仿宋" w:hAnsi="仿宋" w:eastAsia="仿宋" w:cs="仿宋"/>
          <w:color w:val="auto"/>
          <w:sz w:val="24"/>
          <w:szCs w:val="24"/>
          <w:highlight w:val="none"/>
          <w:lang w:eastAsia="zh-CN"/>
        </w:rPr>
        <w:t>磋商有效期</w:t>
      </w:r>
      <w:bookmarkEnd w:id="239"/>
    </w:p>
    <w:p w14:paraId="09087C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3.3.1在供应商须知前附表规定的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内，供应商不得要求撤销或修改其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4C199E0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的，采购人以书面形式通知所有供应商延长</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。供应商同意延长的，应相应延长其</w:t>
      </w:r>
      <w:r>
        <w:rPr>
          <w:rFonts w:hint="eastAsia" w:ascii="仿宋" w:hAnsi="仿宋" w:eastAsia="仿宋" w:cs="仿宋"/>
          <w:color w:val="auto"/>
          <w:sz w:val="24"/>
          <w:szCs w:val="24"/>
          <w:highlight w:val="none"/>
          <w:lang w:eastAsia="zh-CN"/>
        </w:rPr>
        <w:t>响应承诺函</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；供应商拒绝延长的，其投标失效。</w:t>
      </w:r>
    </w:p>
    <w:p w14:paraId="65297DED">
      <w:pPr>
        <w:pStyle w:val="51"/>
        <w:spacing w:line="360" w:lineRule="auto"/>
        <w:outlineLvl w:val="0"/>
        <w:rPr>
          <w:rFonts w:hint="eastAsia" w:ascii="仿宋" w:hAnsi="仿宋" w:eastAsia="仿宋" w:cs="仿宋"/>
          <w:color w:val="auto"/>
          <w:sz w:val="24"/>
          <w:szCs w:val="24"/>
          <w:highlight w:val="none"/>
          <w:lang w:eastAsia="zh-CN"/>
        </w:rPr>
      </w:pPr>
      <w:bookmarkStart w:id="240" w:name="_Toc152045550"/>
      <w:bookmarkStart w:id="241" w:name="_Toc144974518"/>
      <w:bookmarkStart w:id="242" w:name="_Toc4601"/>
      <w:bookmarkStart w:id="243" w:name="_Toc152042326"/>
      <w:bookmarkStart w:id="244" w:name="_Toc532034664"/>
      <w:bookmarkStart w:id="245" w:name="_Toc12143"/>
      <w:bookmarkStart w:id="246" w:name="_Toc5879"/>
      <w:bookmarkStart w:id="247" w:name="_Toc9828"/>
      <w:bookmarkStart w:id="248" w:name="_Toc152045552"/>
      <w:bookmarkStart w:id="249" w:name="_Toc144974520"/>
      <w:bookmarkStart w:id="250" w:name="_Toc152042328"/>
      <w:r>
        <w:rPr>
          <w:rFonts w:hint="eastAsia" w:ascii="仿宋" w:hAnsi="仿宋" w:eastAsia="仿宋" w:cs="仿宋"/>
          <w:color w:val="auto"/>
          <w:sz w:val="24"/>
          <w:szCs w:val="24"/>
          <w:highlight w:val="none"/>
        </w:rPr>
        <w:t xml:space="preserve">3.4 </w:t>
      </w:r>
      <w:bookmarkEnd w:id="240"/>
      <w:bookmarkEnd w:id="241"/>
      <w:bookmarkEnd w:id="242"/>
      <w:bookmarkEnd w:id="243"/>
      <w:bookmarkEnd w:id="244"/>
      <w:bookmarkEnd w:id="245"/>
      <w:bookmarkEnd w:id="246"/>
      <w:r>
        <w:rPr>
          <w:rFonts w:hint="eastAsia" w:ascii="仿宋" w:hAnsi="仿宋" w:eastAsia="仿宋" w:cs="仿宋"/>
          <w:color w:val="auto"/>
          <w:sz w:val="24"/>
          <w:szCs w:val="24"/>
          <w:highlight w:val="none"/>
          <w:lang w:eastAsia="zh-CN"/>
        </w:rPr>
        <w:t>磋商保证金</w:t>
      </w:r>
      <w:bookmarkEnd w:id="247"/>
    </w:p>
    <w:bookmarkEnd w:id="248"/>
    <w:bookmarkEnd w:id="249"/>
    <w:bookmarkEnd w:id="250"/>
    <w:p w14:paraId="4863811B">
      <w:pPr>
        <w:spacing w:line="360" w:lineRule="auto"/>
        <w:ind w:firstLine="480" w:firstLineChars="200"/>
        <w:rPr>
          <w:rFonts w:hint="eastAsia" w:ascii="仿宋" w:hAnsi="仿宋" w:eastAsia="仿宋" w:cs="仿宋"/>
          <w:color w:val="auto"/>
          <w:sz w:val="24"/>
          <w:szCs w:val="24"/>
          <w:highlight w:val="none"/>
        </w:rPr>
      </w:pPr>
      <w:bookmarkStart w:id="251" w:name="_Toc532034665"/>
      <w:bookmarkStart w:id="252" w:name="_Toc152045553"/>
      <w:bookmarkStart w:id="253" w:name="_Toc144974521"/>
      <w:bookmarkStart w:id="254" w:name="_Toc152042329"/>
      <w:r>
        <w:rPr>
          <w:rFonts w:hint="eastAsia" w:ascii="仿宋" w:hAnsi="仿宋" w:eastAsia="仿宋" w:cs="仿宋"/>
          <w:color w:val="auto"/>
          <w:sz w:val="24"/>
          <w:szCs w:val="24"/>
          <w:highlight w:val="none"/>
        </w:rPr>
        <w:t>按照河南省财政厅发布《关于优化政府采购营商环境有关问题的通知》，本采购项目不再收取</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bookmarkEnd w:id="251"/>
    <w:bookmarkEnd w:id="252"/>
    <w:bookmarkEnd w:id="253"/>
    <w:bookmarkEnd w:id="254"/>
    <w:p w14:paraId="23DB7E64">
      <w:pPr>
        <w:spacing w:line="360" w:lineRule="auto"/>
        <w:rPr>
          <w:rFonts w:hint="eastAsia" w:ascii="仿宋" w:hAnsi="仿宋" w:eastAsia="仿宋" w:cs="仿宋"/>
          <w:color w:val="auto"/>
          <w:sz w:val="24"/>
          <w:szCs w:val="24"/>
          <w:highlight w:val="none"/>
        </w:rPr>
      </w:pPr>
      <w:bookmarkStart w:id="255" w:name="_Toc144974523"/>
      <w:bookmarkStart w:id="256" w:name="_Toc152042331"/>
      <w:bookmarkStart w:id="257" w:name="_Toc152045555"/>
      <w:r>
        <w:rPr>
          <w:rFonts w:hint="eastAsia" w:ascii="仿宋" w:hAnsi="仿宋" w:eastAsia="仿宋" w:cs="仿宋"/>
          <w:color w:val="auto"/>
          <w:sz w:val="24"/>
          <w:szCs w:val="24"/>
          <w:highlight w:val="none"/>
        </w:rPr>
        <w:t>3.5 资格审查资料</w:t>
      </w:r>
    </w:p>
    <w:p w14:paraId="3D8D2C17">
      <w:pPr>
        <w:spacing w:line="360" w:lineRule="auto"/>
        <w:ind w:firstLine="480" w:firstLineChars="200"/>
        <w:rPr>
          <w:rFonts w:hint="eastAsia" w:ascii="仿宋" w:hAnsi="仿宋" w:eastAsia="仿宋" w:cs="仿宋"/>
          <w:color w:val="auto"/>
          <w:sz w:val="24"/>
          <w:szCs w:val="24"/>
          <w:highlight w:val="none"/>
        </w:rPr>
      </w:pPr>
      <w:bookmarkStart w:id="258" w:name="_Toc39508196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应满足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须知1.4.1条规定的资格条件，并按照相关规定在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中附有相关资格证明材料复印件。</w:t>
      </w:r>
      <w:bookmarkEnd w:id="258"/>
    </w:p>
    <w:p w14:paraId="6E509675">
      <w:pPr>
        <w:pStyle w:val="51"/>
        <w:spacing w:line="360" w:lineRule="auto"/>
        <w:outlineLvl w:val="0"/>
        <w:rPr>
          <w:rFonts w:hint="eastAsia" w:ascii="仿宋" w:hAnsi="仿宋" w:eastAsia="仿宋" w:cs="仿宋"/>
          <w:color w:val="auto"/>
          <w:sz w:val="24"/>
          <w:szCs w:val="24"/>
          <w:highlight w:val="none"/>
        </w:rPr>
      </w:pPr>
      <w:bookmarkStart w:id="259" w:name="_Toc27001"/>
      <w:bookmarkStart w:id="260" w:name="_Toc8540"/>
      <w:bookmarkStart w:id="261" w:name="_Toc21617"/>
      <w:bookmarkStart w:id="262" w:name="_Toc12185"/>
      <w:bookmarkStart w:id="263" w:name="_Toc19241"/>
      <w:r>
        <w:rPr>
          <w:rFonts w:hint="eastAsia" w:ascii="仿宋" w:hAnsi="仿宋" w:eastAsia="仿宋" w:cs="仿宋"/>
          <w:color w:val="auto"/>
          <w:sz w:val="24"/>
          <w:szCs w:val="24"/>
          <w:highlight w:val="none"/>
        </w:rPr>
        <w:t>3.6 备选投标方案</w:t>
      </w:r>
      <w:bookmarkEnd w:id="259"/>
      <w:bookmarkEnd w:id="260"/>
      <w:bookmarkEnd w:id="261"/>
      <w:bookmarkEnd w:id="262"/>
      <w:bookmarkEnd w:id="263"/>
    </w:p>
    <w:p w14:paraId="2A36AA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除供应商须知前附表另有规定外，供应商不得递交备选投标方案。允许供应商递交备选投标方案的，只有</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人所递交的备选投标方案方可予以考虑。</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认为中标人的备选投标方案优于其按照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要求编制的投标方案的，采购人可以接受该备选投标方案。</w:t>
      </w:r>
    </w:p>
    <w:p w14:paraId="1EBDC163">
      <w:pPr>
        <w:pStyle w:val="51"/>
        <w:spacing w:line="360" w:lineRule="auto"/>
        <w:outlineLvl w:val="0"/>
        <w:rPr>
          <w:rFonts w:hint="eastAsia" w:ascii="仿宋" w:hAnsi="仿宋" w:eastAsia="仿宋" w:cs="仿宋"/>
          <w:color w:val="auto"/>
          <w:sz w:val="24"/>
          <w:szCs w:val="24"/>
          <w:highlight w:val="none"/>
        </w:rPr>
      </w:pPr>
      <w:bookmarkStart w:id="264" w:name="_Toc144974522"/>
      <w:bookmarkStart w:id="265" w:name="_Toc2797"/>
      <w:bookmarkStart w:id="266" w:name="_Toc24496"/>
      <w:bookmarkStart w:id="267" w:name="_Toc152042330"/>
      <w:bookmarkStart w:id="268" w:name="_Toc18794"/>
      <w:bookmarkStart w:id="269" w:name="_Toc152045554"/>
      <w:bookmarkStart w:id="270" w:name="_Toc2304"/>
      <w:bookmarkStart w:id="271" w:name="_Toc9548"/>
      <w:r>
        <w:rPr>
          <w:rFonts w:hint="eastAsia"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bookmarkEnd w:id="264"/>
      <w:bookmarkEnd w:id="265"/>
      <w:bookmarkEnd w:id="266"/>
      <w:bookmarkEnd w:id="267"/>
      <w:bookmarkEnd w:id="268"/>
      <w:bookmarkEnd w:id="269"/>
      <w:bookmarkEnd w:id="270"/>
      <w:bookmarkEnd w:id="271"/>
    </w:p>
    <w:p w14:paraId="0FDEDA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的组成部分。其中，</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函附录在满足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实质性要求的基础上，可以提出比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要求更有利于采购人的承诺。</w:t>
      </w:r>
    </w:p>
    <w:p w14:paraId="2E7EEF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应当对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有关</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质量标准</w:t>
      </w:r>
      <w:r>
        <w:rPr>
          <w:rFonts w:hint="eastAsia" w:ascii="仿宋" w:hAnsi="仿宋" w:eastAsia="仿宋" w:cs="仿宋"/>
          <w:color w:val="auto"/>
          <w:sz w:val="24"/>
          <w:szCs w:val="24"/>
          <w:highlight w:val="none"/>
        </w:rPr>
        <w:t>等实质性内容作出响应。</w:t>
      </w:r>
    </w:p>
    <w:p w14:paraId="6B153B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3.7.3供应商必须对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所提供的全部资料的真实性承担法律责任，并无条件接受招标单位及招标监督管理部门等对其中任何资料进行核实的要求。</w:t>
      </w:r>
    </w:p>
    <w:p w14:paraId="65524B5A">
      <w:pPr>
        <w:pStyle w:val="51"/>
        <w:spacing w:line="360" w:lineRule="auto"/>
        <w:outlineLvl w:val="0"/>
        <w:rPr>
          <w:rFonts w:hint="eastAsia" w:ascii="仿宋" w:hAnsi="仿宋" w:eastAsia="仿宋" w:cs="仿宋"/>
          <w:color w:val="auto"/>
          <w:sz w:val="24"/>
          <w:szCs w:val="24"/>
          <w:highlight w:val="none"/>
        </w:rPr>
      </w:pPr>
      <w:bookmarkStart w:id="272" w:name="_Toc7868"/>
      <w:bookmarkStart w:id="273" w:name="_Toc28164"/>
      <w:bookmarkStart w:id="274" w:name="_Toc15337"/>
      <w:bookmarkStart w:id="275" w:name="_Toc79"/>
      <w:bookmarkStart w:id="276" w:name="_Toc6683"/>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的样式和签署</w:t>
      </w:r>
      <w:bookmarkEnd w:id="272"/>
      <w:bookmarkEnd w:id="273"/>
      <w:bookmarkEnd w:id="274"/>
      <w:bookmarkEnd w:id="275"/>
      <w:bookmarkEnd w:id="276"/>
    </w:p>
    <w:p w14:paraId="0224D7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递交截止时间前制作并提交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55D2E2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,应在投标截止时间前通过“荥阳市公共资源交易中心（http://ggzyjyzx.xingyang.gov.cn/）”电子交易平台内上传；</w:t>
      </w:r>
    </w:p>
    <w:p w14:paraId="3F7408BF">
      <w:pP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为“荥阳市公共资源交易中心（http://ggzyjyzx.xingyang.gov.cn/）”网站提供的“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制作工具”软件制作生成的加密版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10C52B8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3.8.3供应商在制作电子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，按采购文件和系统要求进行电子签章：</w:t>
      </w:r>
    </w:p>
    <w:p w14:paraId="5D9AD62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（1）所有要求响应人加盖公章的地方都应用供应商单位的CA电子签章。</w:t>
      </w:r>
    </w:p>
    <w:p w14:paraId="2CE162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（2）所有要求法定代表人签字的地方都应用法定代表人的CA电子签章。若有委托代理人，且委托代理人没有 CA 锁，则响应文件可以上传手写签名的扫描件。</w:t>
      </w:r>
    </w:p>
    <w:p w14:paraId="00312C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格式所要求包含的全部资料应全部制作在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内，严格按照本项目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所有格式如实填写（不涉及的内容除外），不应存在漏项或缺项，否则将存在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被拒绝的风险。开标一览表，须严格按照格式编辑，并作为电子开评标系统上传的依据。</w:t>
      </w:r>
    </w:p>
    <w:p w14:paraId="2E25BF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以外的任何资料采购人和代理机构将拒收。</w:t>
      </w:r>
    </w:p>
    <w:p w14:paraId="5122AE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3.8.6供应商编辑电子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时，根据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要求用 CA 密钥进行签章制作；最后一步生成电子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时，只能用本单位的企业 CA 密钥。</w:t>
      </w:r>
    </w:p>
    <w:p w14:paraId="00BCD615">
      <w:pPr>
        <w:pStyle w:val="49"/>
        <w:spacing w:before="0" w:line="360" w:lineRule="auto"/>
        <w:outlineLvl w:val="0"/>
        <w:rPr>
          <w:rFonts w:hint="eastAsia" w:ascii="仿宋" w:hAnsi="仿宋" w:eastAsia="仿宋" w:cs="仿宋"/>
          <w:b/>
          <w:color w:val="auto"/>
          <w:sz w:val="24"/>
          <w:szCs w:val="24"/>
          <w:highlight w:val="none"/>
        </w:rPr>
      </w:pPr>
      <w:bookmarkStart w:id="277" w:name="_Toc12590"/>
      <w:bookmarkStart w:id="278" w:name="_Toc10961"/>
      <w:bookmarkStart w:id="279" w:name="_Toc8356"/>
      <w:r>
        <w:rPr>
          <w:rFonts w:hint="eastAsia" w:ascii="仿宋" w:hAnsi="仿宋" w:eastAsia="仿宋" w:cs="仿宋"/>
          <w:b/>
          <w:color w:val="auto"/>
          <w:sz w:val="24"/>
          <w:szCs w:val="24"/>
          <w:highlight w:val="none"/>
        </w:rPr>
        <w:t>4. 投标</w:t>
      </w:r>
      <w:bookmarkEnd w:id="255"/>
      <w:bookmarkEnd w:id="256"/>
      <w:bookmarkEnd w:id="257"/>
      <w:bookmarkEnd w:id="277"/>
      <w:bookmarkEnd w:id="278"/>
      <w:bookmarkEnd w:id="279"/>
    </w:p>
    <w:p w14:paraId="39398B99">
      <w:pPr>
        <w:pStyle w:val="51"/>
        <w:spacing w:line="360" w:lineRule="auto"/>
        <w:outlineLvl w:val="0"/>
        <w:rPr>
          <w:rFonts w:hint="eastAsia" w:ascii="仿宋" w:hAnsi="仿宋" w:eastAsia="仿宋" w:cs="仿宋"/>
          <w:color w:val="auto"/>
          <w:sz w:val="24"/>
          <w:szCs w:val="24"/>
          <w:highlight w:val="none"/>
        </w:rPr>
      </w:pPr>
      <w:bookmarkStart w:id="280" w:name="_Toc25132"/>
      <w:bookmarkStart w:id="281" w:name="_Toc8285"/>
      <w:bookmarkStart w:id="282" w:name="_Toc10945"/>
      <w:bookmarkStart w:id="283" w:name="_Toc20899"/>
      <w:bookmarkStart w:id="284" w:name="_Toc14858"/>
      <w:bookmarkStart w:id="285" w:name="_Toc25782"/>
      <w:bookmarkStart w:id="286" w:name="_Toc2329"/>
      <w:bookmarkStart w:id="287" w:name="_Toc29519"/>
      <w:bookmarkStart w:id="288" w:name="_Toc144974527"/>
      <w:bookmarkStart w:id="289" w:name="_Toc152042335"/>
      <w:bookmarkStart w:id="290" w:name="_Toc152045559"/>
      <w:r>
        <w:rPr>
          <w:rFonts w:hint="eastAsia" w:ascii="仿宋" w:hAnsi="仿宋" w:eastAsia="仿宋" w:cs="仿宋"/>
          <w:b/>
          <w:bCs/>
          <w:color w:val="auto"/>
          <w:sz w:val="24"/>
          <w:szCs w:val="24"/>
          <w:highlight w:val="none"/>
        </w:rPr>
        <w:t>4.1</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的密封和标记</w:t>
      </w:r>
      <w:bookmarkEnd w:id="280"/>
      <w:bookmarkEnd w:id="281"/>
      <w:bookmarkEnd w:id="282"/>
      <w:bookmarkEnd w:id="283"/>
      <w:bookmarkEnd w:id="284"/>
      <w:bookmarkEnd w:id="285"/>
      <w:bookmarkEnd w:id="286"/>
      <w:bookmarkEnd w:id="287"/>
    </w:p>
    <w:p w14:paraId="0A9972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交易中心系统上传的电子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应使用数字证书认证并加密。</w:t>
      </w:r>
    </w:p>
    <w:p w14:paraId="3B5B3E90">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4.2</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w:t>
      </w:r>
    </w:p>
    <w:p w14:paraId="0F250B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4.2.1供应商应在投标截止时间前上传加密的电子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荥阳市公共资源交易平台</w:t>
      </w:r>
      <w:r>
        <w:rPr>
          <w:rFonts w:hint="eastAsia" w:ascii="仿宋" w:hAnsi="仿宋" w:eastAsia="仿宋" w:cs="仿宋"/>
          <w:color w:val="auto"/>
          <w:sz w:val="24"/>
          <w:szCs w:val="24"/>
          <w:highlight w:val="none"/>
        </w:rPr>
        <w:t>系统的指定位置。上传时必须得到电脑“上传成功”的确认。请供应商在上传时认真检查上传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是否完整、正确。</w:t>
      </w:r>
    </w:p>
    <w:p w14:paraId="579DA5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4.2.2供应商因交易中心投标系统问题无法上传电子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时，请在工作时间与荥阳市公共资源交易中心联系。</w:t>
      </w:r>
    </w:p>
    <w:p w14:paraId="508DB7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4.2.3逾期上传的或者未上传至指定位置的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，采购人不予受理。</w:t>
      </w:r>
    </w:p>
    <w:p w14:paraId="266FD4FD">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的修改与撤回</w:t>
      </w:r>
    </w:p>
    <w:p w14:paraId="25BE75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4.3.1供应商在递交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后，在投标截止时间之前可以修改或撤回其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，但供应商必须在投标截止时间之前。在投标截止时间后，供应商不得再要求修改或撤回其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。最终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以投标截止时间前完成上传至荥阳市公共资源交易中心交易系统最后一份</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为准。</w:t>
      </w:r>
    </w:p>
    <w:p w14:paraId="338865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4.3.2从投标截止期至供应商在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中载明的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满期间，供应商不得撤回其投标。</w:t>
      </w:r>
    </w:p>
    <w:p w14:paraId="282ACD05">
      <w:pPr>
        <w:pStyle w:val="49"/>
        <w:spacing w:before="0" w:line="360" w:lineRule="auto"/>
        <w:outlineLvl w:val="0"/>
        <w:rPr>
          <w:rFonts w:hint="eastAsia" w:ascii="仿宋" w:hAnsi="仿宋" w:eastAsia="仿宋" w:cs="仿宋"/>
          <w:b/>
          <w:color w:val="auto"/>
          <w:sz w:val="24"/>
          <w:szCs w:val="24"/>
          <w:highlight w:val="none"/>
        </w:rPr>
      </w:pPr>
      <w:bookmarkStart w:id="291" w:name="_Toc10356"/>
      <w:bookmarkStart w:id="292" w:name="_Toc11619"/>
      <w:bookmarkStart w:id="293" w:name="_Toc25177"/>
      <w:r>
        <w:rPr>
          <w:rFonts w:hint="eastAsia" w:ascii="仿宋" w:hAnsi="仿宋" w:eastAsia="仿宋" w:cs="仿宋"/>
          <w:b/>
          <w:color w:val="auto"/>
          <w:sz w:val="24"/>
          <w:szCs w:val="24"/>
          <w:highlight w:val="none"/>
        </w:rPr>
        <w:t>5. 开标</w:t>
      </w:r>
      <w:bookmarkEnd w:id="288"/>
      <w:bookmarkEnd w:id="289"/>
      <w:bookmarkEnd w:id="290"/>
      <w:bookmarkEnd w:id="291"/>
      <w:bookmarkEnd w:id="292"/>
      <w:bookmarkEnd w:id="293"/>
    </w:p>
    <w:p w14:paraId="57A4D566">
      <w:pPr>
        <w:spacing w:line="360" w:lineRule="auto"/>
        <w:rPr>
          <w:rFonts w:hint="eastAsia" w:ascii="仿宋" w:hAnsi="仿宋" w:eastAsia="仿宋" w:cs="仿宋"/>
          <w:color w:val="auto"/>
          <w:sz w:val="24"/>
          <w:szCs w:val="24"/>
          <w:highlight w:val="none"/>
        </w:rPr>
      </w:pPr>
      <w:bookmarkStart w:id="294" w:name="_Toc152042338"/>
      <w:bookmarkStart w:id="295" w:name="_Toc144974530"/>
      <w:bookmarkStart w:id="296" w:name="_Toc152045562"/>
      <w:r>
        <w:rPr>
          <w:rFonts w:hint="eastAsia" w:ascii="仿宋" w:hAnsi="仿宋" w:eastAsia="仿宋" w:cs="仿宋"/>
          <w:color w:val="auto"/>
          <w:sz w:val="24"/>
          <w:szCs w:val="24"/>
          <w:highlight w:val="none"/>
          <w:lang w:val="en-US" w:eastAsia="zh-CN"/>
        </w:rPr>
        <w:t xml:space="preserve">5.1 开标时间和地点 </w:t>
      </w:r>
    </w:p>
    <w:p w14:paraId="0564925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采购人在本章第 2.2.2 项规定的响应截止时间（开启时间）和供应商须知前附表规定的地点远程开标。</w:t>
      </w:r>
    </w:p>
    <w:p w14:paraId="1711BD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5.2 </w:t>
      </w:r>
      <w:r>
        <w:rPr>
          <w:rFonts w:hint="eastAsia" w:ascii="仿宋" w:hAnsi="仿宋" w:eastAsia="仿宋" w:cs="仿宋"/>
          <w:color w:val="auto"/>
          <w:sz w:val="24"/>
          <w:szCs w:val="24"/>
          <w:highlight w:val="none"/>
        </w:rPr>
        <w:t>开标程序</w:t>
      </w:r>
    </w:p>
    <w:p w14:paraId="2424C9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开标会由采购人或其委托的采购代理机构主持。主持人按“供应商须知前附表”确定的以下程序进行开标： </w:t>
      </w:r>
    </w:p>
    <w:p w14:paraId="34EB6E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14:paraId="54A33E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（2）开标后供应商对所上传加密的响应文件在规定时间内进行解密； </w:t>
      </w:r>
    </w:p>
    <w:p w14:paraId="1C7EEDE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（3）所有供应商解密完成后，开始唱标。 </w:t>
      </w:r>
    </w:p>
    <w:p w14:paraId="2D7FECC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（4）唱标完毕后，无供应商提出异议，开标结束。 </w:t>
      </w:r>
    </w:p>
    <w:p w14:paraId="1E16B85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5.3 开标时出现下列情况的，采购人将拒绝其开标。 </w:t>
      </w:r>
    </w:p>
    <w:p w14:paraId="6D24407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（1）经检查数字证书无效的响应文件； </w:t>
      </w:r>
    </w:p>
    <w:p w14:paraId="6A6762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（2）供应商未在规定的时间内解密响应文件的； </w:t>
      </w:r>
    </w:p>
    <w:p w14:paraId="6EE4C42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（3）供应商未按时参加远程开标会议的。</w:t>
      </w:r>
    </w:p>
    <w:p w14:paraId="1D72BF6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采购过程质疑</w:t>
      </w:r>
    </w:p>
    <w:p w14:paraId="222D901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（1）供应商对采购过程有质疑的，应当在开标结束起 7 个工作日内日提出。 </w:t>
      </w:r>
    </w:p>
    <w:p w14:paraId="6AB8BE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（2）供应商须在法定质疑期内一次性提出针对同一采购程序环节的质疑。</w:t>
      </w:r>
    </w:p>
    <w:p w14:paraId="0A372B9C">
      <w:pPr>
        <w:pStyle w:val="49"/>
        <w:spacing w:before="0" w:line="360" w:lineRule="auto"/>
        <w:outlineLvl w:val="0"/>
        <w:rPr>
          <w:rFonts w:hint="eastAsia" w:ascii="仿宋" w:hAnsi="仿宋" w:eastAsia="仿宋" w:cs="仿宋"/>
          <w:b/>
          <w:color w:val="auto"/>
          <w:sz w:val="24"/>
          <w:szCs w:val="24"/>
          <w:highlight w:val="none"/>
          <w:lang w:eastAsia="zh-CN"/>
        </w:rPr>
      </w:pPr>
      <w:bookmarkStart w:id="297" w:name="_Toc29431"/>
      <w:bookmarkStart w:id="298" w:name="_Toc20982"/>
      <w:bookmarkStart w:id="299" w:name="_Toc8410"/>
      <w:r>
        <w:rPr>
          <w:rFonts w:hint="eastAsia" w:ascii="仿宋" w:hAnsi="仿宋" w:eastAsia="仿宋" w:cs="仿宋"/>
          <w:b/>
          <w:color w:val="auto"/>
          <w:sz w:val="24"/>
          <w:szCs w:val="24"/>
          <w:highlight w:val="none"/>
        </w:rPr>
        <w:t xml:space="preserve">6. </w:t>
      </w:r>
      <w:bookmarkEnd w:id="294"/>
      <w:bookmarkEnd w:id="295"/>
      <w:bookmarkEnd w:id="296"/>
      <w:bookmarkEnd w:id="297"/>
      <w:bookmarkEnd w:id="298"/>
      <w:r>
        <w:rPr>
          <w:rFonts w:hint="eastAsia" w:ascii="仿宋" w:hAnsi="仿宋" w:eastAsia="仿宋" w:cs="仿宋"/>
          <w:b/>
          <w:color w:val="auto"/>
          <w:sz w:val="24"/>
          <w:szCs w:val="24"/>
          <w:highlight w:val="none"/>
          <w:lang w:val="en-US" w:eastAsia="zh-CN"/>
        </w:rPr>
        <w:t>磋商</w:t>
      </w:r>
      <w:bookmarkEnd w:id="299"/>
    </w:p>
    <w:p w14:paraId="4D1429EA">
      <w:pPr>
        <w:pStyle w:val="51"/>
        <w:spacing w:line="360" w:lineRule="auto"/>
        <w:outlineLvl w:val="0"/>
        <w:rPr>
          <w:rFonts w:hint="eastAsia" w:ascii="仿宋" w:hAnsi="仿宋" w:eastAsia="仿宋" w:cs="仿宋"/>
          <w:color w:val="auto"/>
          <w:sz w:val="24"/>
          <w:szCs w:val="24"/>
          <w:highlight w:val="none"/>
          <w:lang w:eastAsia="zh-CN"/>
        </w:rPr>
      </w:pPr>
      <w:bookmarkStart w:id="300" w:name="_Toc8863"/>
      <w:bookmarkStart w:id="301" w:name="_Toc144974531"/>
      <w:bookmarkStart w:id="302" w:name="_Toc532034675"/>
      <w:bookmarkStart w:id="303" w:name="_Toc9485"/>
      <w:bookmarkStart w:id="304" w:name="_Toc152042339"/>
      <w:bookmarkStart w:id="305" w:name="_Toc25684"/>
      <w:bookmarkStart w:id="306" w:name="_Toc152045563"/>
      <w:bookmarkStart w:id="307" w:name="_Toc16443"/>
      <w:r>
        <w:rPr>
          <w:rFonts w:hint="eastAsia" w:ascii="仿宋" w:hAnsi="仿宋" w:eastAsia="仿宋" w:cs="仿宋"/>
          <w:color w:val="auto"/>
          <w:sz w:val="24"/>
          <w:szCs w:val="24"/>
          <w:highlight w:val="none"/>
        </w:rPr>
        <w:t xml:space="preserve">6.1 </w:t>
      </w:r>
      <w:bookmarkEnd w:id="300"/>
      <w:bookmarkEnd w:id="301"/>
      <w:bookmarkEnd w:id="302"/>
      <w:bookmarkEnd w:id="303"/>
      <w:bookmarkEnd w:id="304"/>
      <w:bookmarkEnd w:id="305"/>
      <w:bookmarkEnd w:id="306"/>
      <w:r>
        <w:rPr>
          <w:rFonts w:hint="eastAsia" w:ascii="仿宋" w:hAnsi="仿宋" w:eastAsia="仿宋" w:cs="仿宋"/>
          <w:color w:val="auto"/>
          <w:sz w:val="24"/>
          <w:szCs w:val="24"/>
          <w:highlight w:val="none"/>
          <w:lang w:eastAsia="zh-CN"/>
        </w:rPr>
        <w:t>磋商小组</w:t>
      </w:r>
      <w:bookmarkEnd w:id="307"/>
    </w:p>
    <w:p w14:paraId="0A758039">
      <w:pPr>
        <w:spacing w:line="360" w:lineRule="auto"/>
        <w:ind w:firstLine="480" w:firstLineChars="200"/>
        <w:rPr>
          <w:rFonts w:hint="eastAsia" w:ascii="仿宋" w:hAnsi="仿宋" w:eastAsia="仿宋" w:cs="仿宋"/>
          <w:color w:val="auto"/>
          <w:sz w:val="24"/>
          <w:szCs w:val="24"/>
          <w:highlight w:val="none"/>
        </w:rPr>
      </w:pPr>
      <w:bookmarkStart w:id="308" w:name="_Toc144974534"/>
      <w:bookmarkStart w:id="309" w:name="_Toc152045566"/>
      <w:bookmarkStart w:id="310" w:name="_Toc152042342"/>
      <w:r>
        <w:rPr>
          <w:rFonts w:hint="eastAsia" w:ascii="仿宋" w:hAnsi="仿宋" w:eastAsia="仿宋" w:cs="仿宋"/>
          <w:color w:val="auto"/>
          <w:sz w:val="24"/>
          <w:szCs w:val="24"/>
          <w:highlight w:val="none"/>
        </w:rPr>
        <w:t xml:space="preserve">6.1.1 </w:t>
      </w:r>
      <w:r>
        <w:rPr>
          <w:rFonts w:hint="eastAsia" w:ascii="仿宋" w:hAnsi="仿宋" w:eastAsia="仿宋" w:cs="仿宋"/>
          <w:color w:val="auto"/>
          <w:sz w:val="24"/>
          <w:szCs w:val="24"/>
          <w:highlight w:val="none"/>
          <w:lang w:val="en-US" w:eastAsia="zh-CN"/>
        </w:rPr>
        <w:t>磋商活动</w:t>
      </w:r>
      <w:r>
        <w:rPr>
          <w:rFonts w:hint="eastAsia" w:ascii="仿宋" w:hAnsi="仿宋" w:eastAsia="仿宋" w:cs="仿宋"/>
          <w:color w:val="auto"/>
          <w:sz w:val="24"/>
          <w:szCs w:val="24"/>
          <w:highlight w:val="none"/>
        </w:rPr>
        <w:t>由采购人依法组建的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由采购人以及有关技术、经济等方面的专家组成。</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成员人数以及技术、经济等方面专家的确定方式见供应商须知前附表。</w:t>
      </w:r>
    </w:p>
    <w:p w14:paraId="66E1AE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6.1.2 </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成员有下列情形之一的，应当回避：</w:t>
      </w:r>
    </w:p>
    <w:p w14:paraId="08E8734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(1）采购人或供应商的主要负责人的近亲属；</w:t>
      </w:r>
    </w:p>
    <w:p w14:paraId="6FAEBD5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(2）项目主管部门或者行政监督部门的人员：</w:t>
      </w:r>
    </w:p>
    <w:p w14:paraId="4A519CC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(3）与供应商有经济利益关系，可能影响对投标公正评审的；</w:t>
      </w:r>
    </w:p>
    <w:p w14:paraId="5F6740E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(4）曾因在采购、评标以及其他与采购投标有关活动中从事违法行为而受过行政处罚或刑事处罚的。</w:t>
      </w:r>
    </w:p>
    <w:p w14:paraId="3D027E94">
      <w:pPr>
        <w:pStyle w:val="5"/>
        <w:spacing w:before="0" w:after="0" w:line="360" w:lineRule="auto"/>
        <w:rPr>
          <w:rFonts w:hint="eastAsia" w:ascii="仿宋" w:hAnsi="仿宋" w:eastAsia="仿宋" w:cs="仿宋"/>
          <w:b w:val="0"/>
          <w:bCs w:val="0"/>
          <w:color w:val="auto"/>
          <w:sz w:val="24"/>
          <w:szCs w:val="24"/>
          <w:highlight w:val="none"/>
        </w:rPr>
      </w:pPr>
      <w:bookmarkStart w:id="311" w:name="_Toc345139489"/>
      <w:bookmarkStart w:id="312" w:name="_Toc3548"/>
      <w:bookmarkStart w:id="313" w:name="_Toc532034676"/>
      <w:bookmarkStart w:id="314" w:name="_Toc22810"/>
      <w:bookmarkStart w:id="315" w:name="_Toc29920"/>
      <w:bookmarkStart w:id="316" w:name="_Toc31998"/>
      <w:bookmarkStart w:id="317" w:name="_Toc8164"/>
      <w:r>
        <w:rPr>
          <w:rFonts w:hint="eastAsia" w:ascii="仿宋" w:hAnsi="仿宋" w:eastAsia="仿宋" w:cs="仿宋"/>
          <w:b w:val="0"/>
          <w:bCs w:val="0"/>
          <w:color w:val="auto"/>
          <w:sz w:val="24"/>
          <w:szCs w:val="24"/>
          <w:highlight w:val="none"/>
        </w:rPr>
        <w:t xml:space="preserve">6.2 </w:t>
      </w: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b w:val="0"/>
          <w:bCs w:val="0"/>
          <w:color w:val="auto"/>
          <w:sz w:val="24"/>
          <w:szCs w:val="24"/>
          <w:highlight w:val="none"/>
        </w:rPr>
        <w:t>原则</w:t>
      </w:r>
      <w:bookmarkEnd w:id="311"/>
      <w:bookmarkEnd w:id="312"/>
      <w:bookmarkEnd w:id="313"/>
      <w:bookmarkEnd w:id="314"/>
      <w:bookmarkEnd w:id="315"/>
      <w:bookmarkEnd w:id="316"/>
      <w:bookmarkEnd w:id="317"/>
    </w:p>
    <w:p w14:paraId="4474BA7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color w:val="auto"/>
          <w:kern w:val="0"/>
          <w:sz w:val="24"/>
          <w:szCs w:val="24"/>
          <w:highlight w:val="none"/>
        </w:rPr>
        <w:t>活动遵循公平、公正、科学和择优的原则。</w:t>
      </w:r>
    </w:p>
    <w:p w14:paraId="2CF219FA">
      <w:pPr>
        <w:pStyle w:val="5"/>
        <w:spacing w:before="0" w:after="0" w:line="360" w:lineRule="auto"/>
        <w:rPr>
          <w:rFonts w:hint="eastAsia" w:ascii="仿宋" w:hAnsi="仿宋" w:eastAsia="仿宋" w:cs="仿宋"/>
          <w:b w:val="0"/>
          <w:bCs w:val="0"/>
          <w:color w:val="auto"/>
          <w:sz w:val="24"/>
          <w:szCs w:val="24"/>
          <w:highlight w:val="none"/>
        </w:rPr>
      </w:pPr>
      <w:bookmarkStart w:id="318" w:name="_Toc13889"/>
      <w:bookmarkStart w:id="319" w:name="_Toc345139490"/>
      <w:bookmarkStart w:id="320" w:name="_Toc139"/>
      <w:bookmarkStart w:id="321" w:name="_Toc532034677"/>
      <w:bookmarkStart w:id="322" w:name="_Toc16271"/>
      <w:bookmarkStart w:id="323" w:name="_Toc32016"/>
      <w:bookmarkStart w:id="324" w:name="_Toc11358"/>
      <w:r>
        <w:rPr>
          <w:rFonts w:hint="eastAsia" w:ascii="仿宋" w:hAnsi="仿宋" w:eastAsia="仿宋" w:cs="仿宋"/>
          <w:b w:val="0"/>
          <w:bCs w:val="0"/>
          <w:color w:val="auto"/>
          <w:sz w:val="24"/>
          <w:szCs w:val="24"/>
          <w:highlight w:val="none"/>
        </w:rPr>
        <w:t xml:space="preserve">6.3 </w:t>
      </w:r>
      <w:bookmarkEnd w:id="318"/>
      <w:bookmarkEnd w:id="319"/>
      <w:bookmarkEnd w:id="320"/>
      <w:bookmarkEnd w:id="321"/>
      <w:bookmarkEnd w:id="322"/>
      <w:bookmarkEnd w:id="323"/>
      <w:r>
        <w:rPr>
          <w:rFonts w:hint="eastAsia" w:ascii="仿宋" w:hAnsi="仿宋" w:eastAsia="仿宋" w:cs="仿宋"/>
          <w:b w:val="0"/>
          <w:bCs w:val="0"/>
          <w:color w:val="auto"/>
          <w:sz w:val="24"/>
          <w:szCs w:val="24"/>
          <w:highlight w:val="none"/>
          <w:lang w:eastAsia="zh-CN"/>
        </w:rPr>
        <w:t>磋商</w:t>
      </w:r>
      <w:bookmarkEnd w:id="324"/>
    </w:p>
    <w:p w14:paraId="09BB8BA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办法”规定的方法、评审因素、标准和程序对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进行评审。通过初步评审的投标人进行最终报价，最终报价参加</w:t>
      </w:r>
      <w:r>
        <w:rPr>
          <w:rFonts w:hint="eastAsia" w:ascii="仿宋" w:hAnsi="仿宋" w:eastAsia="仿宋" w:cs="仿宋"/>
          <w:color w:val="auto"/>
          <w:kern w:val="0"/>
          <w:sz w:val="24"/>
          <w:szCs w:val="24"/>
          <w:highlight w:val="none"/>
          <w:lang w:val="en-US" w:eastAsia="zh-CN"/>
        </w:rPr>
        <w:t>二次磋商</w:t>
      </w:r>
      <w:r>
        <w:rPr>
          <w:rFonts w:hint="eastAsia" w:ascii="仿宋" w:hAnsi="仿宋" w:eastAsia="仿宋" w:cs="仿宋"/>
          <w:color w:val="auto"/>
          <w:kern w:val="0"/>
          <w:sz w:val="24"/>
          <w:szCs w:val="24"/>
          <w:highlight w:val="none"/>
        </w:rPr>
        <w:t>报价评审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第三章“</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办法”没有规定的方法、评审因素和标准，不作为</w:t>
      </w:r>
      <w:r>
        <w:rPr>
          <w:rFonts w:hint="eastAsia" w:ascii="仿宋" w:hAnsi="仿宋" w:eastAsia="仿宋" w:cs="仿宋"/>
          <w:color w:val="auto"/>
          <w:kern w:val="0"/>
          <w:sz w:val="24"/>
          <w:szCs w:val="24"/>
          <w:highlight w:val="none"/>
          <w:lang w:val="en-US" w:eastAsia="zh-CN"/>
        </w:rPr>
        <w:t>评审</w:t>
      </w:r>
      <w:r>
        <w:rPr>
          <w:rFonts w:hint="eastAsia" w:ascii="仿宋" w:hAnsi="仿宋" w:eastAsia="仿宋" w:cs="仿宋"/>
          <w:color w:val="auto"/>
          <w:kern w:val="0"/>
          <w:sz w:val="24"/>
          <w:szCs w:val="24"/>
          <w:highlight w:val="none"/>
        </w:rPr>
        <w:t>依据。</w:t>
      </w:r>
    </w:p>
    <w:p w14:paraId="17F50A0A">
      <w:pPr>
        <w:pStyle w:val="49"/>
        <w:spacing w:before="0" w:line="360" w:lineRule="auto"/>
        <w:outlineLvl w:val="0"/>
        <w:rPr>
          <w:rFonts w:hint="eastAsia" w:ascii="仿宋" w:hAnsi="仿宋" w:eastAsia="仿宋" w:cs="仿宋"/>
          <w:b/>
          <w:color w:val="auto"/>
          <w:sz w:val="24"/>
          <w:szCs w:val="24"/>
          <w:highlight w:val="none"/>
        </w:rPr>
      </w:pPr>
      <w:bookmarkStart w:id="325" w:name="_Toc7585"/>
      <w:bookmarkStart w:id="326" w:name="_Toc17593"/>
      <w:bookmarkStart w:id="327" w:name="_Toc23187"/>
      <w:r>
        <w:rPr>
          <w:rFonts w:hint="eastAsia" w:ascii="仿宋" w:hAnsi="仿宋" w:eastAsia="仿宋" w:cs="仿宋"/>
          <w:b/>
          <w:color w:val="auto"/>
          <w:sz w:val="24"/>
          <w:szCs w:val="24"/>
          <w:highlight w:val="none"/>
        </w:rPr>
        <w:t>7. 合同授予</w:t>
      </w:r>
      <w:bookmarkEnd w:id="308"/>
      <w:bookmarkEnd w:id="309"/>
      <w:bookmarkEnd w:id="310"/>
      <w:bookmarkEnd w:id="325"/>
      <w:bookmarkEnd w:id="326"/>
      <w:bookmarkEnd w:id="327"/>
    </w:p>
    <w:p w14:paraId="681B882F">
      <w:pPr>
        <w:pStyle w:val="51"/>
        <w:spacing w:line="360" w:lineRule="auto"/>
        <w:outlineLvl w:val="0"/>
        <w:rPr>
          <w:rFonts w:hint="eastAsia" w:ascii="仿宋" w:hAnsi="仿宋" w:eastAsia="仿宋" w:cs="仿宋"/>
          <w:color w:val="auto"/>
          <w:sz w:val="24"/>
          <w:szCs w:val="24"/>
          <w:highlight w:val="none"/>
        </w:rPr>
      </w:pPr>
      <w:bookmarkStart w:id="328" w:name="_Toc28656"/>
      <w:bookmarkStart w:id="329" w:name="_Toc532034679"/>
      <w:bookmarkStart w:id="330" w:name="_Toc14214"/>
      <w:bookmarkStart w:id="331" w:name="_Toc152045567"/>
      <w:bookmarkStart w:id="332" w:name="_Toc12600"/>
      <w:bookmarkStart w:id="333" w:name="_Toc4853"/>
      <w:bookmarkStart w:id="334" w:name="_Toc152042343"/>
      <w:bookmarkStart w:id="335" w:name="_Toc144974535"/>
      <w:r>
        <w:rPr>
          <w:rFonts w:hint="eastAsia" w:ascii="仿宋" w:hAnsi="仿宋" w:eastAsia="仿宋" w:cs="仿宋"/>
          <w:color w:val="auto"/>
          <w:sz w:val="24"/>
          <w:szCs w:val="24"/>
          <w:highlight w:val="none"/>
        </w:rPr>
        <w:t>7.1 定标方式</w:t>
      </w:r>
      <w:bookmarkEnd w:id="328"/>
      <w:bookmarkEnd w:id="329"/>
      <w:bookmarkEnd w:id="330"/>
      <w:bookmarkEnd w:id="331"/>
      <w:bookmarkEnd w:id="332"/>
      <w:bookmarkEnd w:id="333"/>
      <w:bookmarkEnd w:id="334"/>
      <w:bookmarkEnd w:id="335"/>
    </w:p>
    <w:p w14:paraId="4684E3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除供应商须知前附表规定</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人外，采购人依据</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候选人的人数见供应商须知前附表。</w:t>
      </w:r>
    </w:p>
    <w:p w14:paraId="7A2F46EF">
      <w:pPr>
        <w:pStyle w:val="51"/>
        <w:spacing w:line="360" w:lineRule="auto"/>
        <w:outlineLvl w:val="0"/>
        <w:rPr>
          <w:rFonts w:hint="eastAsia" w:ascii="仿宋" w:hAnsi="仿宋" w:eastAsia="仿宋" w:cs="仿宋"/>
          <w:color w:val="auto"/>
          <w:sz w:val="24"/>
          <w:szCs w:val="24"/>
          <w:highlight w:val="none"/>
        </w:rPr>
      </w:pPr>
      <w:bookmarkStart w:id="336" w:name="_Toc152042344"/>
      <w:bookmarkStart w:id="337" w:name="_Toc2108"/>
      <w:bookmarkStart w:id="338" w:name="_Toc532034680"/>
      <w:bookmarkStart w:id="339" w:name="_Toc144974536"/>
      <w:bookmarkStart w:id="340" w:name="_Toc19004"/>
      <w:bookmarkStart w:id="341" w:name="_Toc16445"/>
      <w:bookmarkStart w:id="342" w:name="_Toc152045568"/>
      <w:bookmarkStart w:id="343" w:name="_Toc629"/>
      <w:r>
        <w:rPr>
          <w:rFonts w:hint="eastAsia"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bookmarkEnd w:id="336"/>
      <w:bookmarkEnd w:id="337"/>
      <w:bookmarkEnd w:id="338"/>
      <w:bookmarkEnd w:id="339"/>
      <w:bookmarkEnd w:id="340"/>
      <w:bookmarkEnd w:id="341"/>
      <w:bookmarkEnd w:id="342"/>
      <w:bookmarkEnd w:id="343"/>
    </w:p>
    <w:p w14:paraId="38435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7.2.1采购代理机构应当在评标结束后2个工作日内将评标报告送采购人。</w:t>
      </w:r>
    </w:p>
    <w:p w14:paraId="292C6C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7.2.2采购人应当自收到评标报告之日起5个工作日内，在评标报告确定的中标候选人名单中按顺序确定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候选人并列的，由采购人或者采购人委托</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未规定的，采取随机抽取的方式确定。</w:t>
      </w:r>
    </w:p>
    <w:p w14:paraId="53B0E0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7.2.3采购人在收到评标报告5个工作日内未按评标报告推荐的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人，又不能说明合法理由的，视同按评标报告推荐的顺序确定排名第一的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77671A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7.2.4采购人或者采购代理机构应当自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人确定之日起2个工作日内，在省级以上财政部门指定的媒体上公告</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应当随</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结果同时公告。</w:t>
      </w:r>
    </w:p>
    <w:p w14:paraId="61F30E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5成交</w:t>
      </w:r>
      <w:r>
        <w:rPr>
          <w:rFonts w:hint="eastAsia" w:ascii="仿宋" w:hAnsi="仿宋" w:eastAsia="仿宋" w:cs="仿宋"/>
          <w:color w:val="auto"/>
          <w:sz w:val="24"/>
          <w:szCs w:val="24"/>
          <w:highlight w:val="none"/>
        </w:rPr>
        <w:t>公告期限为1个工作日。</w:t>
      </w:r>
    </w:p>
    <w:p w14:paraId="3B1027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在公告</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结果的同时，采购人或者采购代理机构应当向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14:paraId="2AF408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7成交</w:t>
      </w:r>
      <w:r>
        <w:rPr>
          <w:rFonts w:hint="eastAsia" w:ascii="仿宋" w:hAnsi="仿宋" w:eastAsia="仿宋" w:cs="仿宋"/>
          <w:color w:val="auto"/>
          <w:sz w:val="24"/>
          <w:szCs w:val="24"/>
          <w:highlight w:val="none"/>
        </w:rPr>
        <w:t>通知书发出后，采购人不得违法改变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人无正当理由不得放弃中标。</w:t>
      </w:r>
    </w:p>
    <w:p w14:paraId="3FCD1C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7.2.8各有关当事人对成交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 </w:t>
      </w:r>
    </w:p>
    <w:p w14:paraId="5684089E">
      <w:pPr>
        <w:pStyle w:val="51"/>
        <w:spacing w:line="360" w:lineRule="auto"/>
        <w:outlineLvl w:val="0"/>
        <w:rPr>
          <w:rFonts w:hint="eastAsia" w:ascii="仿宋" w:hAnsi="仿宋" w:eastAsia="仿宋" w:cs="仿宋"/>
          <w:color w:val="auto"/>
          <w:sz w:val="24"/>
          <w:szCs w:val="24"/>
          <w:highlight w:val="none"/>
        </w:rPr>
      </w:pPr>
      <w:bookmarkStart w:id="344" w:name="_Toc144974538"/>
      <w:bookmarkStart w:id="345" w:name="_Toc12553"/>
      <w:bookmarkStart w:id="346" w:name="_Toc532034681"/>
      <w:bookmarkStart w:id="347" w:name="_Toc30098"/>
      <w:bookmarkStart w:id="348" w:name="_Toc5838"/>
      <w:bookmarkStart w:id="349" w:name="_Toc152045570"/>
      <w:bookmarkStart w:id="350" w:name="_Toc152042346"/>
      <w:bookmarkStart w:id="351" w:name="_Toc11740"/>
      <w:r>
        <w:rPr>
          <w:rFonts w:hint="eastAsia" w:ascii="仿宋" w:hAnsi="仿宋" w:eastAsia="仿宋" w:cs="仿宋"/>
          <w:color w:val="auto"/>
          <w:sz w:val="24"/>
          <w:szCs w:val="24"/>
          <w:highlight w:val="none"/>
        </w:rPr>
        <w:t>7.3 签订合同</w:t>
      </w:r>
      <w:bookmarkEnd w:id="344"/>
      <w:bookmarkEnd w:id="345"/>
      <w:bookmarkEnd w:id="346"/>
      <w:bookmarkEnd w:id="347"/>
      <w:bookmarkEnd w:id="348"/>
      <w:bookmarkEnd w:id="349"/>
      <w:bookmarkEnd w:id="350"/>
      <w:bookmarkEnd w:id="351"/>
    </w:p>
    <w:p w14:paraId="5DAF41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7.3.1采购人应当自中标通知书发出之日起</w:t>
      </w:r>
      <w:r>
        <w:rPr>
          <w:rFonts w:hint="eastAsia" w:ascii="仿宋" w:hAnsi="仿宋" w:eastAsia="仿宋" w:cs="仿宋"/>
          <w:color w:val="auto"/>
          <w:sz w:val="24"/>
          <w:szCs w:val="24"/>
          <w:highlight w:val="none"/>
          <w:lang w:val="en-US" w:eastAsia="zh-CN"/>
        </w:rPr>
        <w:t>2个工作</w:t>
      </w:r>
      <w:r>
        <w:rPr>
          <w:rFonts w:hint="eastAsia" w:ascii="仿宋" w:hAnsi="仿宋" w:eastAsia="仿宋" w:cs="仿宋"/>
          <w:color w:val="auto"/>
          <w:sz w:val="24"/>
          <w:szCs w:val="24"/>
          <w:highlight w:val="none"/>
        </w:rPr>
        <w:t>日内，按照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的规定，与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人签订书面合同。所签订的合同不得对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确定的事项和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10708A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7.3.2采购人不得向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人提出任何不合理的要求作为签订合同的条件。</w:t>
      </w:r>
    </w:p>
    <w:p w14:paraId="7F4CB1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7.3.3 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通知书后，采购人无正当理由拒签合同的，给</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人造成损失的，还应当赔偿损失。</w:t>
      </w:r>
    </w:p>
    <w:p w14:paraId="2D0E6C6D">
      <w:pPr>
        <w:pStyle w:val="49"/>
        <w:spacing w:before="0" w:line="360" w:lineRule="auto"/>
        <w:outlineLvl w:val="0"/>
        <w:rPr>
          <w:rFonts w:hint="eastAsia" w:ascii="仿宋" w:hAnsi="仿宋" w:eastAsia="仿宋" w:cs="仿宋"/>
          <w:b/>
          <w:color w:val="auto"/>
          <w:sz w:val="24"/>
          <w:szCs w:val="24"/>
          <w:highlight w:val="none"/>
        </w:rPr>
      </w:pPr>
      <w:bookmarkStart w:id="352" w:name="_Toc152042347"/>
      <w:bookmarkStart w:id="353" w:name="_Toc152045571"/>
      <w:bookmarkStart w:id="354" w:name="_Toc144974539"/>
      <w:bookmarkStart w:id="355" w:name="_Toc9896"/>
      <w:bookmarkStart w:id="356" w:name="_Toc4812"/>
      <w:bookmarkStart w:id="357" w:name="_Toc23777"/>
      <w:r>
        <w:rPr>
          <w:rFonts w:hint="eastAsia" w:ascii="仿宋" w:hAnsi="仿宋" w:eastAsia="仿宋" w:cs="仿宋"/>
          <w:b/>
          <w:color w:val="auto"/>
          <w:sz w:val="24"/>
          <w:szCs w:val="24"/>
          <w:highlight w:val="none"/>
        </w:rPr>
        <w:t>8. 重新采购和</w:t>
      </w:r>
      <w:bookmarkEnd w:id="352"/>
      <w:bookmarkEnd w:id="353"/>
      <w:bookmarkEnd w:id="354"/>
      <w:r>
        <w:rPr>
          <w:rFonts w:hint="eastAsia" w:ascii="仿宋" w:hAnsi="仿宋" w:eastAsia="仿宋" w:cs="仿宋"/>
          <w:b/>
          <w:color w:val="auto"/>
          <w:sz w:val="24"/>
          <w:szCs w:val="24"/>
          <w:highlight w:val="none"/>
        </w:rPr>
        <w:t>采购变更</w:t>
      </w:r>
      <w:bookmarkEnd w:id="355"/>
      <w:bookmarkEnd w:id="356"/>
      <w:bookmarkEnd w:id="357"/>
    </w:p>
    <w:p w14:paraId="35D351F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 重新采购</w:t>
      </w:r>
    </w:p>
    <w:p w14:paraId="01EDF9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出现下列情形之一的，采购人或者采购代理机构应当终止竞争性磋商采购活动，发布项目终止公告并说明原因，重新开展采购活动：</w:t>
      </w:r>
    </w:p>
    <w:p w14:paraId="04FEC9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（一）因情况变化，不再符合规定的竞争性磋商采购方式适用情形的； </w:t>
      </w:r>
    </w:p>
    <w:p w14:paraId="37612EA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（二）出现影响采购公正的违法、违规行为的； </w:t>
      </w:r>
    </w:p>
    <w:p w14:paraId="645E6C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（三）除《政府采购竞争性磋商采购方式管理暂行办法》第二十一条第三款规定的情形外，在采购过程中符合要求的供应商或者报价未超过采购预算的供应商不足3家的。</w:t>
      </w:r>
    </w:p>
    <w:p w14:paraId="66C93966">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8.2 </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lang w:val="en-US" w:eastAsia="zh-CN"/>
        </w:rPr>
        <w:t>再采购</w:t>
      </w:r>
    </w:p>
    <w:p w14:paraId="7F2347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在采购活动中因重大变故，采购任务取消的，采购人或者采购代理机构应当终止采购活动，通知所有参加采购活动的供应商，并将项目实施情况和采购任务取消原因报送本级财政部门。</w:t>
      </w:r>
    </w:p>
    <w:p w14:paraId="05216D84">
      <w:pPr>
        <w:pStyle w:val="49"/>
        <w:spacing w:before="0" w:line="360" w:lineRule="auto"/>
        <w:outlineLvl w:val="0"/>
        <w:rPr>
          <w:rFonts w:hint="eastAsia" w:ascii="仿宋" w:hAnsi="仿宋" w:eastAsia="仿宋" w:cs="仿宋"/>
          <w:b/>
          <w:color w:val="auto"/>
          <w:sz w:val="24"/>
          <w:szCs w:val="24"/>
          <w:highlight w:val="none"/>
        </w:rPr>
      </w:pPr>
      <w:bookmarkStart w:id="358" w:name="_Toc23048"/>
      <w:bookmarkStart w:id="359" w:name="_Toc152042350"/>
      <w:bookmarkStart w:id="360" w:name="_Toc152045574"/>
      <w:bookmarkStart w:id="361" w:name="_Toc3820"/>
      <w:bookmarkStart w:id="362" w:name="_Toc7774"/>
      <w:bookmarkStart w:id="363" w:name="_Toc144974542"/>
      <w:r>
        <w:rPr>
          <w:rFonts w:hint="eastAsia" w:ascii="仿宋" w:hAnsi="仿宋" w:eastAsia="仿宋" w:cs="仿宋"/>
          <w:b/>
          <w:color w:val="auto"/>
          <w:sz w:val="24"/>
          <w:szCs w:val="24"/>
          <w:highlight w:val="none"/>
        </w:rPr>
        <w:t>9. 纪律和监督</w:t>
      </w:r>
      <w:bookmarkEnd w:id="358"/>
      <w:bookmarkEnd w:id="359"/>
      <w:bookmarkEnd w:id="360"/>
      <w:bookmarkEnd w:id="361"/>
      <w:bookmarkEnd w:id="362"/>
      <w:bookmarkEnd w:id="363"/>
    </w:p>
    <w:p w14:paraId="1E9B5049">
      <w:pPr>
        <w:pStyle w:val="51"/>
        <w:spacing w:line="360" w:lineRule="auto"/>
        <w:outlineLvl w:val="0"/>
        <w:rPr>
          <w:rFonts w:hint="eastAsia" w:ascii="仿宋" w:hAnsi="仿宋" w:eastAsia="仿宋" w:cs="仿宋"/>
          <w:color w:val="auto"/>
          <w:sz w:val="24"/>
          <w:szCs w:val="24"/>
          <w:highlight w:val="none"/>
        </w:rPr>
      </w:pPr>
      <w:bookmarkStart w:id="364" w:name="_Toc532034686"/>
      <w:bookmarkStart w:id="365" w:name="_Toc19352"/>
      <w:bookmarkStart w:id="366" w:name="_Toc144974543"/>
      <w:bookmarkStart w:id="367" w:name="_Toc10011"/>
      <w:bookmarkStart w:id="368" w:name="_Toc152042351"/>
      <w:bookmarkStart w:id="369" w:name="_Toc2030"/>
      <w:bookmarkStart w:id="370" w:name="_Toc15536"/>
      <w:bookmarkStart w:id="371" w:name="_Toc152045575"/>
      <w:r>
        <w:rPr>
          <w:rFonts w:hint="eastAsia" w:ascii="仿宋" w:hAnsi="仿宋" w:eastAsia="仿宋" w:cs="仿宋"/>
          <w:color w:val="auto"/>
          <w:sz w:val="24"/>
          <w:szCs w:val="24"/>
          <w:highlight w:val="none"/>
        </w:rPr>
        <w:t>9.1 对采购人的纪律要求</w:t>
      </w:r>
      <w:bookmarkEnd w:id="364"/>
      <w:bookmarkEnd w:id="365"/>
      <w:bookmarkEnd w:id="366"/>
      <w:bookmarkEnd w:id="367"/>
      <w:bookmarkEnd w:id="368"/>
      <w:bookmarkEnd w:id="369"/>
      <w:bookmarkEnd w:id="370"/>
      <w:bookmarkEnd w:id="371"/>
    </w:p>
    <w:p w14:paraId="7CA75A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采购人不得泄漏采购投标活动中应当保密的情况和资料，不得与供应商串通损害国家利益、社会公共利益或者他人合法权益。</w:t>
      </w:r>
    </w:p>
    <w:p w14:paraId="684FB571">
      <w:pPr>
        <w:pStyle w:val="51"/>
        <w:spacing w:line="360" w:lineRule="auto"/>
        <w:outlineLvl w:val="0"/>
        <w:rPr>
          <w:rFonts w:hint="eastAsia" w:ascii="仿宋" w:hAnsi="仿宋" w:eastAsia="仿宋" w:cs="仿宋"/>
          <w:color w:val="auto"/>
          <w:sz w:val="24"/>
          <w:szCs w:val="24"/>
          <w:highlight w:val="none"/>
        </w:rPr>
      </w:pPr>
      <w:bookmarkStart w:id="372" w:name="_Toc15611"/>
      <w:bookmarkStart w:id="373" w:name="_Toc152045576"/>
      <w:bookmarkStart w:id="374" w:name="_Toc152042352"/>
      <w:bookmarkStart w:id="375" w:name="_Toc532034687"/>
      <w:bookmarkStart w:id="376" w:name="_Toc14457"/>
      <w:bookmarkStart w:id="377" w:name="_Toc13740"/>
      <w:bookmarkStart w:id="378" w:name="_Toc144974544"/>
      <w:bookmarkStart w:id="379" w:name="_Toc22076"/>
      <w:r>
        <w:rPr>
          <w:rFonts w:hint="eastAsia" w:ascii="仿宋" w:hAnsi="仿宋" w:eastAsia="仿宋" w:cs="仿宋"/>
          <w:color w:val="auto"/>
          <w:sz w:val="24"/>
          <w:szCs w:val="24"/>
          <w:highlight w:val="none"/>
        </w:rPr>
        <w:t>9.2 对供应商的纪律要求</w:t>
      </w:r>
      <w:bookmarkEnd w:id="372"/>
      <w:bookmarkEnd w:id="373"/>
      <w:bookmarkEnd w:id="374"/>
      <w:bookmarkEnd w:id="375"/>
      <w:bookmarkEnd w:id="376"/>
      <w:bookmarkEnd w:id="377"/>
      <w:bookmarkEnd w:id="378"/>
      <w:bookmarkEnd w:id="379"/>
    </w:p>
    <w:p w14:paraId="6F3C58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供应商不得相互串通投标或者与采购人串通投标，不得向采购人或者</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成员行贿谋取中标，不得以他人名义投标或者以其他方式弄虚作假骗取中标；供应商不得以任何方式干扰、影响评标工作。</w:t>
      </w:r>
    </w:p>
    <w:p w14:paraId="5A94538C">
      <w:pPr>
        <w:pStyle w:val="51"/>
        <w:spacing w:line="360" w:lineRule="auto"/>
        <w:outlineLvl w:val="0"/>
        <w:rPr>
          <w:rFonts w:hint="eastAsia" w:ascii="仿宋" w:hAnsi="仿宋" w:eastAsia="仿宋" w:cs="仿宋"/>
          <w:color w:val="auto"/>
          <w:sz w:val="24"/>
          <w:szCs w:val="24"/>
          <w:highlight w:val="none"/>
        </w:rPr>
      </w:pPr>
      <w:bookmarkStart w:id="380" w:name="_Toc152045577"/>
      <w:bookmarkStart w:id="381" w:name="_Toc144974545"/>
      <w:bookmarkStart w:id="382" w:name="_Toc8899"/>
      <w:bookmarkStart w:id="383" w:name="_Toc18893"/>
      <w:bookmarkStart w:id="384" w:name="_Toc152042353"/>
      <w:bookmarkStart w:id="385" w:name="_Toc532034688"/>
      <w:bookmarkStart w:id="386" w:name="_Toc28998"/>
      <w:bookmarkStart w:id="387" w:name="_Toc1861"/>
      <w:r>
        <w:rPr>
          <w:rFonts w:hint="eastAsia" w:ascii="仿宋" w:hAnsi="仿宋" w:eastAsia="仿宋" w:cs="仿宋"/>
          <w:color w:val="auto"/>
          <w:sz w:val="24"/>
          <w:szCs w:val="24"/>
          <w:highlight w:val="none"/>
        </w:rPr>
        <w:t>9.3 对</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成员的纪律要求</w:t>
      </w:r>
      <w:bookmarkEnd w:id="380"/>
      <w:bookmarkEnd w:id="381"/>
      <w:bookmarkEnd w:id="382"/>
      <w:bookmarkEnd w:id="383"/>
      <w:bookmarkEnd w:id="384"/>
      <w:bookmarkEnd w:id="385"/>
      <w:bookmarkEnd w:id="386"/>
      <w:bookmarkEnd w:id="387"/>
    </w:p>
    <w:p w14:paraId="3CDB8A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成员不得擅离职守，影响评标程序正常进行，不得使用第三章“评标办法”没有规定的评审因素和标准进行评标。</w:t>
      </w:r>
    </w:p>
    <w:p w14:paraId="2C00E2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及其成员不得有下列行为：</w:t>
      </w:r>
    </w:p>
    <w:p w14:paraId="11182E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（一）确定参与评标至评标结束前私自接触供应商；</w:t>
      </w:r>
    </w:p>
    <w:p w14:paraId="060195C5">
      <w:pPr>
        <w:spacing w:line="360" w:lineRule="auto"/>
        <w:ind w:left="540" w:leftChars="20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（二）接受供应商提出的与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不一致的澄清或者说明，《政府采购货物和服务采购投标管理办法》（财政部令第87号）第五十一条规定的情形除外；</w:t>
      </w:r>
    </w:p>
    <w:p w14:paraId="39909C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（三）违反评标纪律发表倾向性意见或者征询采购人的倾向性意见；</w:t>
      </w:r>
    </w:p>
    <w:p w14:paraId="4D7E76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（四）对需要专业判断的主观评审因素协商评分；</w:t>
      </w:r>
    </w:p>
    <w:p w14:paraId="39D1FA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（五）在评标过程中擅离职守，影响评标程序正常进行的；</w:t>
      </w:r>
    </w:p>
    <w:p w14:paraId="793A71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（六）记录、复制或者带走任何评标资料；</w:t>
      </w:r>
    </w:p>
    <w:p w14:paraId="021A5D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（七）其他不遵守评标纪律的行为。</w:t>
      </w:r>
    </w:p>
    <w:p w14:paraId="665F521D">
      <w:pPr>
        <w:pStyle w:val="51"/>
        <w:spacing w:line="360" w:lineRule="auto"/>
        <w:outlineLvl w:val="0"/>
        <w:rPr>
          <w:rFonts w:hint="eastAsia" w:ascii="仿宋" w:hAnsi="仿宋" w:eastAsia="仿宋" w:cs="仿宋"/>
          <w:color w:val="auto"/>
          <w:sz w:val="24"/>
          <w:szCs w:val="24"/>
          <w:highlight w:val="none"/>
        </w:rPr>
      </w:pPr>
      <w:bookmarkStart w:id="388" w:name="_Toc532034689"/>
      <w:bookmarkStart w:id="389" w:name="_Toc6665"/>
      <w:bookmarkStart w:id="390" w:name="_Toc152042354"/>
      <w:bookmarkStart w:id="391" w:name="_Toc152045578"/>
      <w:bookmarkStart w:id="392" w:name="_Toc22906"/>
      <w:bookmarkStart w:id="393" w:name="_Toc24353"/>
      <w:bookmarkStart w:id="394" w:name="_Toc15961"/>
      <w:bookmarkStart w:id="395" w:name="_Toc144974546"/>
      <w:r>
        <w:rPr>
          <w:rFonts w:hint="eastAsia" w:ascii="仿宋" w:hAnsi="仿宋" w:eastAsia="仿宋" w:cs="仿宋"/>
          <w:color w:val="auto"/>
          <w:sz w:val="24"/>
          <w:szCs w:val="24"/>
          <w:highlight w:val="none"/>
        </w:rPr>
        <w:t>9.4 对与评标活动有关的工作人员的纪律要求</w:t>
      </w:r>
      <w:bookmarkEnd w:id="388"/>
      <w:bookmarkEnd w:id="389"/>
      <w:bookmarkEnd w:id="390"/>
      <w:bookmarkEnd w:id="391"/>
      <w:bookmarkEnd w:id="392"/>
      <w:bookmarkEnd w:id="393"/>
      <w:bookmarkEnd w:id="394"/>
    </w:p>
    <w:p w14:paraId="07BF8F56">
      <w:pPr>
        <w:spacing w:line="360" w:lineRule="auto"/>
        <w:ind w:firstLine="480" w:firstLineChars="200"/>
        <w:rPr>
          <w:rFonts w:hint="eastAsia" w:ascii="仿宋" w:hAnsi="仿宋" w:eastAsia="仿宋" w:cs="仿宋"/>
          <w:color w:val="auto"/>
          <w:sz w:val="24"/>
          <w:szCs w:val="24"/>
          <w:highlight w:val="none"/>
        </w:rPr>
      </w:pPr>
      <w:bookmarkStart w:id="396" w:name="_Toc152042355"/>
      <w:r>
        <w:rPr>
          <w:rFonts w:hint="eastAsia" w:ascii="仿宋" w:hAnsi="仿宋" w:eastAsia="仿宋" w:cs="仿宋"/>
          <w:color w:val="auto"/>
          <w:sz w:val="24"/>
          <w:szCs w:val="24"/>
          <w:highlight w:val="none"/>
        </w:rPr>
        <w:t>与评标活动有关的工作人员不得收受他人的财物或者其他好处，不得向他人透漏对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候选人的推荐情况以及评标有关的其他情况。在评标活动中，与评标活动有关的工作人员不得擅离职守，影响评标程序正常进行。</w:t>
      </w:r>
      <w:bookmarkEnd w:id="396"/>
    </w:p>
    <w:p w14:paraId="3E6F9827">
      <w:pPr>
        <w:pStyle w:val="51"/>
        <w:spacing w:line="360" w:lineRule="auto"/>
        <w:outlineLvl w:val="0"/>
        <w:rPr>
          <w:rFonts w:hint="eastAsia" w:ascii="仿宋" w:hAnsi="仿宋" w:eastAsia="仿宋" w:cs="仿宋"/>
          <w:color w:val="auto"/>
          <w:sz w:val="24"/>
          <w:szCs w:val="24"/>
          <w:highlight w:val="none"/>
        </w:rPr>
      </w:pPr>
      <w:bookmarkStart w:id="397" w:name="_Toc152042356"/>
      <w:bookmarkStart w:id="398" w:name="_Toc30295"/>
      <w:bookmarkStart w:id="399" w:name="_Toc532034690"/>
      <w:bookmarkStart w:id="400" w:name="_Toc29970"/>
      <w:bookmarkStart w:id="401" w:name="_Toc17141"/>
      <w:bookmarkStart w:id="402" w:name="_Toc152045579"/>
      <w:bookmarkStart w:id="403" w:name="_Toc857"/>
      <w:r>
        <w:rPr>
          <w:rFonts w:hint="eastAsia" w:ascii="仿宋" w:hAnsi="仿宋" w:eastAsia="仿宋" w:cs="仿宋"/>
          <w:color w:val="auto"/>
          <w:sz w:val="24"/>
          <w:szCs w:val="24"/>
          <w:highlight w:val="none"/>
        </w:rPr>
        <w:t>9.5 投诉</w:t>
      </w:r>
      <w:bookmarkEnd w:id="395"/>
      <w:bookmarkEnd w:id="397"/>
      <w:bookmarkEnd w:id="398"/>
      <w:bookmarkEnd w:id="399"/>
      <w:bookmarkEnd w:id="400"/>
      <w:bookmarkEnd w:id="401"/>
      <w:bookmarkEnd w:id="402"/>
      <w:bookmarkEnd w:id="403"/>
    </w:p>
    <w:p w14:paraId="6AD9DD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供应商和其他利害关系人认为本次采购活动违反法律、法规和规章规定的，有权向有关行政监督部门投诉。</w:t>
      </w:r>
    </w:p>
    <w:p w14:paraId="223C2551">
      <w:pPr>
        <w:pStyle w:val="49"/>
        <w:spacing w:before="0" w:line="360" w:lineRule="auto"/>
        <w:outlineLvl w:val="0"/>
        <w:rPr>
          <w:rFonts w:hint="eastAsia" w:ascii="仿宋" w:hAnsi="仿宋" w:eastAsia="仿宋" w:cs="仿宋"/>
          <w:b/>
          <w:color w:val="auto"/>
          <w:sz w:val="24"/>
          <w:szCs w:val="24"/>
          <w:highlight w:val="none"/>
        </w:rPr>
      </w:pPr>
      <w:bookmarkStart w:id="404" w:name="_Toc152042357"/>
      <w:bookmarkStart w:id="405" w:name="_Toc144974547"/>
      <w:bookmarkStart w:id="406" w:name="_Toc23296"/>
      <w:bookmarkStart w:id="407" w:name="_Toc21904"/>
      <w:bookmarkStart w:id="408" w:name="_Toc27677"/>
      <w:bookmarkStart w:id="409" w:name="_Toc152045580"/>
      <w:r>
        <w:rPr>
          <w:rFonts w:hint="eastAsia" w:ascii="仿宋" w:hAnsi="仿宋" w:eastAsia="仿宋" w:cs="仿宋"/>
          <w:b/>
          <w:color w:val="auto"/>
          <w:sz w:val="24"/>
          <w:szCs w:val="24"/>
          <w:highlight w:val="none"/>
        </w:rPr>
        <w:t>10. 需要补充的其他内容</w:t>
      </w:r>
      <w:bookmarkEnd w:id="404"/>
      <w:bookmarkEnd w:id="405"/>
      <w:bookmarkEnd w:id="406"/>
      <w:bookmarkEnd w:id="407"/>
      <w:bookmarkEnd w:id="408"/>
      <w:bookmarkEnd w:id="409"/>
    </w:p>
    <w:p w14:paraId="57D42C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需要补充的其他内容：见供应商须知前附表。</w:t>
      </w:r>
    </w:p>
    <w:p w14:paraId="2149B210">
      <w:pPr>
        <w:pStyle w:val="45"/>
        <w:spacing w:line="360" w:lineRule="auto"/>
        <w:ind w:firstLine="420"/>
        <w:jc w:val="both"/>
        <w:rPr>
          <w:rFonts w:hint="eastAsia" w:ascii="仿宋" w:hAnsi="仿宋" w:eastAsia="仿宋" w:cs="仿宋"/>
          <w:color w:val="auto"/>
          <w:sz w:val="24"/>
          <w:szCs w:val="24"/>
          <w:highlight w:val="none"/>
        </w:rPr>
      </w:pPr>
    </w:p>
    <w:p w14:paraId="79C15FEA">
      <w:pPr>
        <w:autoSpaceDE w:val="0"/>
        <w:autoSpaceDN w:val="0"/>
        <w:adjustRightInd w:val="0"/>
        <w:spacing w:line="360" w:lineRule="auto"/>
        <w:jc w:val="left"/>
        <w:rPr>
          <w:rFonts w:hint="eastAsia" w:ascii="仿宋" w:hAnsi="仿宋" w:eastAsia="仿宋" w:cs="仿宋"/>
          <w:color w:val="auto"/>
          <w:kern w:val="0"/>
          <w:sz w:val="24"/>
          <w:szCs w:val="24"/>
          <w:highlight w:val="none"/>
        </w:rPr>
        <w:sectPr>
          <w:headerReference r:id="rId10" w:type="first"/>
          <w:footerReference r:id="rId12" w:type="first"/>
          <w:footerReference r:id="rId11" w:type="default"/>
          <w:pgSz w:w="11906" w:h="16838"/>
          <w:pgMar w:top="1440" w:right="1080" w:bottom="1440" w:left="1140" w:header="851" w:footer="992" w:gutter="0"/>
          <w:pgNumType w:fmt="decimal"/>
          <w:cols w:space="720" w:num="1"/>
          <w:titlePg/>
          <w:docGrid w:type="linesAndChars" w:linePitch="312" w:charSpace="0"/>
        </w:sectPr>
      </w:pPr>
    </w:p>
    <w:p w14:paraId="74A57913">
      <w:pPr>
        <w:pStyle w:val="3"/>
        <w:spacing w:before="120" w:after="120" w:line="500" w:lineRule="exact"/>
        <w:jc w:val="center"/>
        <w:rPr>
          <w:rFonts w:hint="eastAsia" w:ascii="仿宋" w:hAnsi="仿宋" w:eastAsia="仿宋" w:cs="仿宋"/>
          <w:color w:val="auto"/>
          <w:sz w:val="10"/>
          <w:szCs w:val="10"/>
          <w:highlight w:val="none"/>
        </w:rPr>
      </w:pPr>
      <w:bookmarkStart w:id="410" w:name="_Toc152045598"/>
      <w:bookmarkStart w:id="411" w:name="_Toc144974565"/>
      <w:bookmarkStart w:id="412" w:name="_Toc27510"/>
      <w:bookmarkStart w:id="413" w:name="_Toc152042375"/>
      <w:r>
        <w:rPr>
          <w:rFonts w:hint="eastAsia" w:ascii="仿宋" w:hAnsi="仿宋" w:eastAsia="仿宋" w:cs="仿宋"/>
          <w:color w:val="auto"/>
          <w:sz w:val="32"/>
          <w:highlight w:val="none"/>
        </w:rPr>
        <w:t xml:space="preserve">第三章 </w:t>
      </w:r>
      <w:r>
        <w:rPr>
          <w:rFonts w:hint="eastAsia" w:ascii="仿宋" w:hAnsi="仿宋" w:eastAsia="仿宋" w:cs="仿宋"/>
          <w:color w:val="auto"/>
          <w:sz w:val="32"/>
          <w:highlight w:val="none"/>
          <w:lang w:val="en-US" w:eastAsia="zh-CN"/>
        </w:rPr>
        <w:t>磋商</w:t>
      </w:r>
      <w:r>
        <w:rPr>
          <w:rFonts w:hint="eastAsia" w:ascii="仿宋" w:hAnsi="仿宋" w:eastAsia="仿宋" w:cs="仿宋"/>
          <w:color w:val="auto"/>
          <w:sz w:val="32"/>
          <w:highlight w:val="none"/>
        </w:rPr>
        <w:t>办法（综合评分法）</w:t>
      </w:r>
      <w:bookmarkEnd w:id="410"/>
      <w:bookmarkEnd w:id="411"/>
      <w:bookmarkEnd w:id="412"/>
      <w:bookmarkEnd w:id="413"/>
    </w:p>
    <w:p w14:paraId="1C832546">
      <w:pPr>
        <w:spacing w:line="3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评分办法前附表</w:t>
      </w:r>
      <w:bookmarkStart w:id="414" w:name="_Toc25037540"/>
      <w:bookmarkStart w:id="415" w:name="_Toc120416258"/>
      <w:bookmarkStart w:id="416" w:name="_Toc350881051"/>
      <w:bookmarkStart w:id="417" w:name="_Toc138753174"/>
      <w:bookmarkStart w:id="418" w:name="_Toc130028398"/>
      <w:bookmarkStart w:id="419" w:name="_Toc26261451"/>
      <w:bookmarkStart w:id="420" w:name="_Toc25726404"/>
    </w:p>
    <w:tbl>
      <w:tblPr>
        <w:tblStyle w:val="27"/>
        <w:tblW w:w="1041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19"/>
        <w:gridCol w:w="1892"/>
        <w:gridCol w:w="6107"/>
      </w:tblGrid>
      <w:tr w14:paraId="0DF760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19" w:type="dxa"/>
            <w:gridSpan w:val="2"/>
            <w:tcBorders>
              <w:top w:val="single" w:color="auto" w:sz="4" w:space="0"/>
              <w:left w:val="single" w:color="auto" w:sz="4" w:space="0"/>
            </w:tcBorders>
            <w:noWrap w:val="0"/>
            <w:vAlign w:val="center"/>
          </w:tcPr>
          <w:p w14:paraId="6AC8B45C">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892" w:type="dxa"/>
            <w:tcBorders>
              <w:top w:val="single" w:color="auto" w:sz="4" w:space="0"/>
            </w:tcBorders>
            <w:noWrap w:val="0"/>
            <w:vAlign w:val="center"/>
          </w:tcPr>
          <w:p w14:paraId="698E4851">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107" w:type="dxa"/>
            <w:tcBorders>
              <w:top w:val="single" w:color="auto" w:sz="4" w:space="0"/>
              <w:right w:val="single" w:color="auto" w:sz="4" w:space="0"/>
            </w:tcBorders>
            <w:noWrap w:val="0"/>
            <w:vAlign w:val="center"/>
          </w:tcPr>
          <w:p w14:paraId="7CC8F62C">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6BA0FF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left w:val="single" w:color="auto" w:sz="4" w:space="0"/>
            </w:tcBorders>
            <w:noWrap w:val="0"/>
            <w:vAlign w:val="center"/>
          </w:tcPr>
          <w:p w14:paraId="1D8F4410">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1</w:t>
            </w:r>
          </w:p>
        </w:tc>
        <w:tc>
          <w:tcPr>
            <w:tcW w:w="1519" w:type="dxa"/>
            <w:vMerge w:val="restart"/>
            <w:noWrap w:val="0"/>
            <w:vAlign w:val="center"/>
          </w:tcPr>
          <w:p w14:paraId="2E8046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p w14:paraId="05B6643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1892" w:type="dxa"/>
            <w:tcBorders>
              <w:bottom w:val="single" w:color="auto" w:sz="4" w:space="0"/>
            </w:tcBorders>
            <w:noWrap w:val="0"/>
            <w:vAlign w:val="center"/>
          </w:tcPr>
          <w:p w14:paraId="0CCDF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6107" w:type="dxa"/>
            <w:tcBorders>
              <w:bottom w:val="single" w:color="auto" w:sz="4" w:space="0"/>
              <w:right w:val="single" w:color="auto" w:sz="4" w:space="0"/>
            </w:tcBorders>
            <w:noWrap w:val="0"/>
            <w:vAlign w:val="center"/>
          </w:tcPr>
          <w:p w14:paraId="432D4EAD">
            <w:pPr>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提供有效期内的营业执照</w:t>
            </w:r>
            <w:r>
              <w:rPr>
                <w:rFonts w:hint="eastAsia" w:ascii="仿宋" w:hAnsi="仿宋" w:eastAsia="仿宋" w:cs="仿宋"/>
                <w:color w:val="auto"/>
                <w:sz w:val="24"/>
                <w:szCs w:val="24"/>
                <w:highlight w:val="none"/>
                <w:lang w:val="en-US" w:eastAsia="zh-CN"/>
              </w:rPr>
              <w:t>或其他组织证明材料</w:t>
            </w:r>
          </w:p>
        </w:tc>
      </w:tr>
      <w:tr w14:paraId="1F0DBA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0690D987">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3CFE2DF6">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79EAD723">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资质证明</w:t>
            </w:r>
          </w:p>
        </w:tc>
        <w:tc>
          <w:tcPr>
            <w:tcW w:w="6107" w:type="dxa"/>
            <w:tcBorders>
              <w:bottom w:val="single" w:color="auto" w:sz="4" w:space="0"/>
              <w:right w:val="single" w:color="auto" w:sz="4" w:space="0"/>
            </w:tcBorders>
            <w:noWrap w:val="0"/>
            <w:vAlign w:val="center"/>
          </w:tcPr>
          <w:p w14:paraId="32AC5988">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提供有效期内的</w:t>
            </w:r>
            <w:r>
              <w:rPr>
                <w:rFonts w:hint="eastAsia" w:ascii="仿宋" w:hAnsi="仿宋" w:eastAsia="仿宋" w:cs="仿宋"/>
                <w:color w:val="auto"/>
                <w:sz w:val="24"/>
                <w:szCs w:val="24"/>
                <w:highlight w:val="none"/>
                <w:lang w:val="en-US" w:eastAsia="zh-CN"/>
              </w:rPr>
              <w:t>资质证书、安全生产许可证</w:t>
            </w:r>
          </w:p>
        </w:tc>
      </w:tr>
      <w:tr w14:paraId="33E82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3B71A72F">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089C2B5F">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7777EE46">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项目经理资格</w:t>
            </w:r>
          </w:p>
          <w:p w14:paraId="30ECEA02">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条件</w:t>
            </w:r>
          </w:p>
        </w:tc>
        <w:tc>
          <w:tcPr>
            <w:tcW w:w="6107" w:type="dxa"/>
            <w:tcBorders>
              <w:bottom w:val="single" w:color="auto" w:sz="4" w:space="0"/>
              <w:right w:val="single" w:color="auto" w:sz="4" w:space="0"/>
            </w:tcBorders>
            <w:noWrap w:val="0"/>
            <w:vAlign w:val="center"/>
          </w:tcPr>
          <w:p w14:paraId="73ED1CD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提供有效期内的</w:t>
            </w:r>
            <w:r>
              <w:rPr>
                <w:rFonts w:hint="eastAsia" w:ascii="仿宋" w:hAnsi="仿宋" w:eastAsia="仿宋" w:cs="仿宋"/>
                <w:color w:val="auto"/>
                <w:sz w:val="24"/>
                <w:szCs w:val="24"/>
                <w:highlight w:val="none"/>
                <w:lang w:val="en-US" w:eastAsia="zh-CN"/>
              </w:rPr>
              <w:t>注册建造师证书、</w:t>
            </w:r>
            <w:r>
              <w:rPr>
                <w:rFonts w:hint="eastAsia" w:ascii="仿宋" w:hAnsi="仿宋" w:eastAsia="仿宋" w:cs="仿宋"/>
                <w:bCs/>
                <w:color w:val="auto"/>
                <w:sz w:val="24"/>
                <w:szCs w:val="24"/>
                <w:highlight w:val="none"/>
                <w:lang w:eastAsia="zh-CN"/>
              </w:rPr>
              <w:t>安全生产考核合格证</w:t>
            </w:r>
            <w:r>
              <w:rPr>
                <w:rFonts w:hint="eastAsia" w:ascii="仿宋" w:hAnsi="仿宋" w:eastAsia="仿宋" w:cs="仿宋"/>
                <w:color w:val="auto"/>
                <w:sz w:val="24"/>
                <w:szCs w:val="24"/>
                <w:highlight w:val="none"/>
                <w:lang w:val="en-US" w:eastAsia="zh-CN"/>
              </w:rPr>
              <w:t>、社保证明、无在建承诺书（</w:t>
            </w:r>
            <w:r>
              <w:rPr>
                <w:rFonts w:hint="eastAsia" w:ascii="仿宋" w:hAnsi="仿宋" w:eastAsia="仿宋" w:cs="仿宋"/>
                <w:color w:val="auto"/>
                <w:sz w:val="24"/>
                <w:szCs w:val="24"/>
                <w:highlight w:val="none"/>
                <w:lang w:eastAsia="zh-CN"/>
              </w:rPr>
              <w:t>自行承诺，格式自拟</w:t>
            </w:r>
            <w:r>
              <w:rPr>
                <w:rFonts w:hint="eastAsia" w:ascii="仿宋" w:hAnsi="仿宋" w:eastAsia="仿宋" w:cs="仿宋"/>
                <w:color w:val="auto"/>
                <w:sz w:val="24"/>
                <w:szCs w:val="24"/>
                <w:highlight w:val="none"/>
                <w:lang w:val="en-US" w:eastAsia="zh-CN"/>
              </w:rPr>
              <w:t>）</w:t>
            </w:r>
          </w:p>
        </w:tc>
      </w:tr>
      <w:tr w14:paraId="3B1D1B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02FF8B14">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2272DAF3">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29898725">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资格声明文件</w:t>
            </w:r>
          </w:p>
        </w:tc>
        <w:tc>
          <w:tcPr>
            <w:tcW w:w="6107" w:type="dxa"/>
            <w:tcBorders>
              <w:bottom w:val="single" w:color="auto" w:sz="4" w:space="0"/>
              <w:right w:val="single" w:color="auto" w:sz="4" w:space="0"/>
            </w:tcBorders>
            <w:noWrap w:val="0"/>
            <w:vAlign w:val="center"/>
          </w:tcPr>
          <w:p w14:paraId="3B2D32A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提供符合招标文件要求的资格承诺声明函</w:t>
            </w:r>
          </w:p>
        </w:tc>
      </w:tr>
      <w:tr w14:paraId="484BA7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1F5F9505">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BC0A6FC">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185561A7">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信用结果查询</w:t>
            </w:r>
          </w:p>
        </w:tc>
        <w:tc>
          <w:tcPr>
            <w:tcW w:w="6107" w:type="dxa"/>
            <w:tcBorders>
              <w:bottom w:val="single" w:color="auto" w:sz="4" w:space="0"/>
              <w:right w:val="single" w:color="auto" w:sz="4" w:space="0"/>
            </w:tcBorders>
            <w:noWrap w:val="0"/>
            <w:vAlign w:val="center"/>
          </w:tcPr>
          <w:p w14:paraId="67918F9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对列入失信被执行人、重大税收违法失信主体、政府采购严重违法失信行为记录名单的投标人，拒绝参与本项目政府采购活动</w:t>
            </w:r>
          </w:p>
        </w:tc>
      </w:tr>
      <w:tr w14:paraId="373814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5B156423">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56EBB639">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0E9E1F2C">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政府采购政策</w:t>
            </w:r>
          </w:p>
          <w:p w14:paraId="35A858C4">
            <w:pPr>
              <w:keepNext w:val="0"/>
              <w:keepLines w:val="0"/>
              <w:pageBreakBefore w:val="0"/>
              <w:widowControl w:val="0"/>
              <w:kinsoku/>
              <w:wordWrap/>
              <w:overflowPunct/>
              <w:topLinePunct w:val="0"/>
              <w:autoSpaceDE/>
              <w:autoSpaceDN/>
              <w:bidi w:val="0"/>
              <w:adjustRightInd/>
              <w:snapToGrid/>
              <w:spacing w:line="400" w:lineRule="exact"/>
              <w:ind w:right="0" w:rightChars="0" w:firstLine="67" w:firstLineChars="28"/>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107" w:type="dxa"/>
            <w:tcBorders>
              <w:bottom w:val="single" w:color="auto" w:sz="4" w:space="0"/>
              <w:right w:val="single" w:color="auto" w:sz="4" w:space="0"/>
            </w:tcBorders>
            <w:noWrap w:val="0"/>
            <w:vAlign w:val="center"/>
          </w:tcPr>
          <w:p w14:paraId="7131CAA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本项目属于专门面向中小企业采购的项目，即本项目承建企业应为中小微企业、监狱企业、残疾人福利性单位。提供《中小企业声明函》（格式见附件）</w:t>
            </w:r>
          </w:p>
        </w:tc>
      </w:tr>
      <w:tr w14:paraId="35C28E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51B05156">
            <w:pPr>
              <w:spacing w:line="440" w:lineRule="exact"/>
              <w:jc w:val="center"/>
              <w:rPr>
                <w:rFonts w:hint="eastAsia" w:ascii="仿宋" w:hAnsi="仿宋" w:eastAsia="仿宋" w:cs="仿宋"/>
                <w:color w:val="auto"/>
                <w:sz w:val="24"/>
                <w:szCs w:val="24"/>
                <w:highlight w:val="none"/>
              </w:rPr>
            </w:pPr>
          </w:p>
        </w:tc>
        <w:tc>
          <w:tcPr>
            <w:tcW w:w="1519" w:type="dxa"/>
            <w:vMerge w:val="continue"/>
            <w:noWrap w:val="0"/>
            <w:vAlign w:val="center"/>
          </w:tcPr>
          <w:p w14:paraId="64CB7CF3">
            <w:pPr>
              <w:spacing w:line="440" w:lineRule="exact"/>
              <w:jc w:val="center"/>
              <w:rPr>
                <w:rFonts w:hint="eastAsia" w:ascii="仿宋" w:hAnsi="仿宋" w:eastAsia="仿宋" w:cs="仿宋"/>
                <w:color w:val="auto"/>
                <w:sz w:val="24"/>
                <w:szCs w:val="24"/>
                <w:highlight w:val="none"/>
              </w:rPr>
            </w:pPr>
          </w:p>
        </w:tc>
        <w:tc>
          <w:tcPr>
            <w:tcW w:w="1892" w:type="dxa"/>
            <w:tcBorders>
              <w:bottom w:val="single" w:color="auto" w:sz="4" w:space="0"/>
            </w:tcBorders>
            <w:noWrap w:val="0"/>
            <w:vAlign w:val="center"/>
          </w:tcPr>
          <w:p w14:paraId="5DF5C9B0">
            <w:pPr>
              <w:keepNext w:val="0"/>
              <w:keepLines w:val="0"/>
              <w:pageBreakBefore w:val="0"/>
              <w:widowControl w:val="0"/>
              <w:kinsoku/>
              <w:wordWrap/>
              <w:overflowPunct/>
              <w:topLinePunct w:val="0"/>
              <w:autoSpaceDE/>
              <w:autoSpaceDN/>
              <w:bidi w:val="0"/>
              <w:adjustRightInd/>
              <w:snapToGrid/>
              <w:spacing w:before="50" w:line="400" w:lineRule="exact"/>
              <w:ind w:right="96"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控股关系</w:t>
            </w:r>
          </w:p>
        </w:tc>
        <w:tc>
          <w:tcPr>
            <w:tcW w:w="6107" w:type="dxa"/>
            <w:tcBorders>
              <w:bottom w:val="single" w:color="auto" w:sz="4" w:space="0"/>
              <w:right w:val="single" w:color="auto" w:sz="4" w:space="0"/>
            </w:tcBorders>
            <w:noWrap w:val="0"/>
            <w:vAlign w:val="center"/>
          </w:tcPr>
          <w:p w14:paraId="58AEF112">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4A909C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top w:val="single" w:color="auto" w:sz="4" w:space="0"/>
              <w:left w:val="single" w:color="auto" w:sz="4" w:space="0"/>
              <w:right w:val="single" w:color="auto" w:sz="4" w:space="0"/>
            </w:tcBorders>
            <w:noWrap w:val="0"/>
            <w:vAlign w:val="center"/>
          </w:tcPr>
          <w:p w14:paraId="0AC70784">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w:t>
            </w:r>
          </w:p>
        </w:tc>
        <w:tc>
          <w:tcPr>
            <w:tcW w:w="1519" w:type="dxa"/>
            <w:vMerge w:val="restart"/>
            <w:tcBorders>
              <w:top w:val="single" w:color="auto" w:sz="4" w:space="0"/>
              <w:left w:val="single" w:color="auto" w:sz="4" w:space="0"/>
              <w:right w:val="single" w:color="auto" w:sz="4" w:space="0"/>
            </w:tcBorders>
            <w:noWrap w:val="0"/>
            <w:vAlign w:val="center"/>
          </w:tcPr>
          <w:p w14:paraId="1A77FBF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初步</w:t>
            </w:r>
            <w:r>
              <w:rPr>
                <w:rFonts w:hint="eastAsia" w:ascii="仿宋" w:hAnsi="仿宋" w:eastAsia="仿宋" w:cs="仿宋"/>
                <w:color w:val="auto"/>
                <w:sz w:val="24"/>
                <w:szCs w:val="24"/>
                <w:highlight w:val="none"/>
              </w:rPr>
              <w:t>评审</w:t>
            </w:r>
          </w:p>
          <w:p w14:paraId="75CB7AC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A6B3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E576D39">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与营业执照一致</w:t>
            </w:r>
          </w:p>
        </w:tc>
      </w:tr>
      <w:tr w14:paraId="3AEF7D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2545509B">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4173F0A0">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5A4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响应文件签字盖章</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59224CF">
            <w:pPr>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符合第二章“供应商须知”第 3.7.3 的规定</w:t>
            </w:r>
          </w:p>
        </w:tc>
      </w:tr>
      <w:tr w14:paraId="40503C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454A380B">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111499C7">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6E6BC1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响应文件格式</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5BF191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响应文件格式”的规定</w:t>
            </w:r>
          </w:p>
        </w:tc>
      </w:tr>
      <w:tr w14:paraId="55018D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center"/>
          </w:tcPr>
          <w:p w14:paraId="711E1AB0">
            <w:pPr>
              <w:spacing w:line="440" w:lineRule="exact"/>
              <w:jc w:val="center"/>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DFC1753">
            <w:pPr>
              <w:spacing w:line="440" w:lineRule="exact"/>
              <w:jc w:val="center"/>
              <w:rPr>
                <w:rFonts w:hint="eastAsia" w:ascii="仿宋" w:hAnsi="仿宋" w:eastAsia="仿宋" w:cs="仿宋"/>
                <w:color w:val="auto"/>
                <w:sz w:val="24"/>
                <w:szCs w:val="24"/>
                <w:highlight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96B0806">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响应内容</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4B1E60A9">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符合第二章“供应商须知”第1.3.1项规定</w:t>
            </w:r>
          </w:p>
        </w:tc>
      </w:tr>
      <w:tr w14:paraId="3FECBF0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 w:type="dxa"/>
            <w:vMerge w:val="continue"/>
            <w:tcBorders>
              <w:left w:val="single" w:color="auto" w:sz="4" w:space="0"/>
              <w:right w:val="single" w:color="auto" w:sz="4" w:space="0"/>
            </w:tcBorders>
            <w:noWrap w:val="0"/>
            <w:vAlign w:val="top"/>
          </w:tcPr>
          <w:p w14:paraId="53CECD05">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367E6670">
            <w:pPr>
              <w:spacing w:line="440" w:lineRule="exact"/>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00C324">
            <w:pPr>
              <w:pStyle w:val="13"/>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rPr>
              <w:t>期</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DA4215">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符合第二章“供应商须知”第1.3.2项规定</w:t>
            </w:r>
          </w:p>
        </w:tc>
      </w:tr>
      <w:tr w14:paraId="674A74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50941520">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0E1095F8">
            <w:pPr>
              <w:spacing w:line="440" w:lineRule="exact"/>
              <w:rPr>
                <w:rFonts w:hint="eastAsia" w:ascii="仿宋" w:hAnsi="仿宋" w:eastAsia="仿宋" w:cs="仿宋"/>
                <w:color w:val="auto"/>
                <w:sz w:val="24"/>
                <w:szCs w:val="24"/>
                <w:highlight w:val="none"/>
              </w:rPr>
            </w:pPr>
          </w:p>
        </w:tc>
        <w:tc>
          <w:tcPr>
            <w:tcW w:w="1892" w:type="dxa"/>
            <w:tcBorders>
              <w:top w:val="single" w:color="auto" w:sz="4" w:space="0"/>
            </w:tcBorders>
            <w:noWrap w:val="0"/>
            <w:vAlign w:val="center"/>
          </w:tcPr>
          <w:p w14:paraId="1423DA6C">
            <w:pPr>
              <w:pStyle w:val="13"/>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标准</w:t>
            </w:r>
          </w:p>
        </w:tc>
        <w:tc>
          <w:tcPr>
            <w:tcW w:w="6107" w:type="dxa"/>
            <w:tcBorders>
              <w:top w:val="single" w:color="auto" w:sz="4" w:space="0"/>
              <w:right w:val="single" w:color="auto" w:sz="4" w:space="0"/>
            </w:tcBorders>
            <w:noWrap w:val="0"/>
            <w:vAlign w:val="center"/>
          </w:tcPr>
          <w:p w14:paraId="0F8DE9EF">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符合第二章“供应商须知”第1.3.3项规定</w:t>
            </w:r>
          </w:p>
        </w:tc>
      </w:tr>
      <w:tr w14:paraId="365E590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32E8FAA7">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16011D89">
            <w:pPr>
              <w:spacing w:line="440" w:lineRule="exact"/>
              <w:rPr>
                <w:rFonts w:hint="eastAsia" w:ascii="仿宋" w:hAnsi="仿宋" w:eastAsia="仿宋" w:cs="仿宋"/>
                <w:color w:val="auto"/>
                <w:sz w:val="24"/>
                <w:szCs w:val="24"/>
                <w:highlight w:val="none"/>
              </w:rPr>
            </w:pPr>
          </w:p>
        </w:tc>
        <w:tc>
          <w:tcPr>
            <w:tcW w:w="1892" w:type="dxa"/>
            <w:noWrap w:val="0"/>
            <w:vAlign w:val="center"/>
          </w:tcPr>
          <w:p w14:paraId="1F832126">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107" w:type="dxa"/>
            <w:tcBorders>
              <w:right w:val="single" w:color="auto" w:sz="4" w:space="0"/>
            </w:tcBorders>
            <w:noWrap w:val="0"/>
            <w:vAlign w:val="center"/>
          </w:tcPr>
          <w:p w14:paraId="2232AD1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符合第二章“供应商须知”第3.3.1项规定</w:t>
            </w:r>
          </w:p>
        </w:tc>
      </w:tr>
      <w:tr w14:paraId="0BE6D3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7157C559">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7117695B">
            <w:pPr>
              <w:spacing w:line="440" w:lineRule="exact"/>
              <w:rPr>
                <w:rFonts w:hint="eastAsia" w:ascii="仿宋" w:hAnsi="仿宋" w:eastAsia="仿宋" w:cs="仿宋"/>
                <w:color w:val="auto"/>
                <w:sz w:val="24"/>
                <w:szCs w:val="24"/>
                <w:highlight w:val="none"/>
              </w:rPr>
            </w:pPr>
          </w:p>
        </w:tc>
        <w:tc>
          <w:tcPr>
            <w:tcW w:w="1892" w:type="dxa"/>
            <w:noWrap w:val="0"/>
            <w:vAlign w:val="center"/>
          </w:tcPr>
          <w:p w14:paraId="262DEB4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已标价工程量清单</w:t>
            </w:r>
          </w:p>
        </w:tc>
        <w:tc>
          <w:tcPr>
            <w:tcW w:w="6107" w:type="dxa"/>
            <w:tcBorders>
              <w:right w:val="single" w:color="auto" w:sz="4" w:space="0"/>
            </w:tcBorders>
            <w:noWrap w:val="0"/>
            <w:vAlign w:val="center"/>
          </w:tcPr>
          <w:p w14:paraId="6805F90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符合第五章“工程量清单”给出的范围及数量</w:t>
            </w:r>
          </w:p>
        </w:tc>
      </w:tr>
      <w:tr w14:paraId="7AE1B4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17D729AB">
            <w:pPr>
              <w:spacing w:line="440" w:lineRule="exact"/>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top"/>
          </w:tcPr>
          <w:p w14:paraId="2A55E89B">
            <w:pPr>
              <w:spacing w:line="440" w:lineRule="exact"/>
              <w:rPr>
                <w:rFonts w:hint="eastAsia" w:ascii="仿宋" w:hAnsi="仿宋" w:eastAsia="仿宋" w:cs="仿宋"/>
                <w:color w:val="auto"/>
                <w:sz w:val="24"/>
                <w:szCs w:val="24"/>
                <w:highlight w:val="none"/>
              </w:rPr>
            </w:pPr>
          </w:p>
        </w:tc>
        <w:tc>
          <w:tcPr>
            <w:tcW w:w="1892" w:type="dxa"/>
            <w:noWrap w:val="0"/>
            <w:vAlign w:val="center"/>
          </w:tcPr>
          <w:p w14:paraId="08D8BE33">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磋商报价</w:t>
            </w:r>
          </w:p>
        </w:tc>
        <w:tc>
          <w:tcPr>
            <w:tcW w:w="6107" w:type="dxa"/>
            <w:tcBorders>
              <w:right w:val="single" w:color="auto" w:sz="4" w:space="0"/>
            </w:tcBorders>
            <w:noWrap w:val="0"/>
            <w:vAlign w:val="center"/>
          </w:tcPr>
          <w:p w14:paraId="13DC830F">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不高于最高限价</w:t>
            </w:r>
          </w:p>
        </w:tc>
      </w:tr>
      <w:tr w14:paraId="390E11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tcBorders>
              <w:left w:val="single" w:color="auto" w:sz="4" w:space="0"/>
            </w:tcBorders>
            <w:noWrap w:val="0"/>
            <w:vAlign w:val="center"/>
          </w:tcPr>
          <w:p w14:paraId="413D659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411" w:type="dxa"/>
            <w:gridSpan w:val="2"/>
            <w:tcBorders>
              <w:left w:val="single" w:color="auto" w:sz="4" w:space="0"/>
            </w:tcBorders>
            <w:noWrap w:val="0"/>
            <w:vAlign w:val="center"/>
          </w:tcPr>
          <w:p w14:paraId="7811062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2.2.1</w:t>
            </w:r>
            <w:r>
              <w:rPr>
                <w:rFonts w:hint="eastAsia" w:ascii="仿宋" w:hAnsi="仿宋" w:eastAsia="仿宋" w:cs="仿宋"/>
                <w:color w:val="auto"/>
                <w:sz w:val="24"/>
                <w:szCs w:val="24"/>
                <w:highlight w:val="none"/>
              </w:rPr>
              <w:t>分值构成</w:t>
            </w:r>
          </w:p>
        </w:tc>
        <w:tc>
          <w:tcPr>
            <w:tcW w:w="6107" w:type="dxa"/>
            <w:tcBorders>
              <w:right w:val="single" w:color="auto" w:sz="4" w:space="0"/>
            </w:tcBorders>
            <w:noWrap w:val="0"/>
            <w:vAlign w:val="center"/>
          </w:tcPr>
          <w:p w14:paraId="7F60BE33">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4423DB8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p w14:paraId="09A029D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r>
      <w:bookmarkEnd w:id="414"/>
      <w:bookmarkEnd w:id="415"/>
      <w:bookmarkEnd w:id="416"/>
      <w:bookmarkEnd w:id="417"/>
      <w:bookmarkEnd w:id="418"/>
      <w:bookmarkEnd w:id="419"/>
      <w:bookmarkEnd w:id="420"/>
      <w:tr w14:paraId="3A18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FAC3D9F">
            <w:pPr>
              <w:jc w:val="center"/>
              <w:rPr>
                <w:rFonts w:hint="eastAsia" w:ascii="仿宋" w:hAnsi="仿宋" w:eastAsia="仿宋" w:cs="仿宋"/>
                <w:color w:val="auto"/>
                <w:sz w:val="24"/>
                <w:szCs w:val="24"/>
                <w:highlight w:val="none"/>
              </w:rPr>
            </w:pPr>
            <w:bookmarkStart w:id="421" w:name="_Toc346731841"/>
            <w:bookmarkStart w:id="422" w:name="_Toc6915"/>
            <w:bookmarkStart w:id="423" w:name="_Toc254788514"/>
            <w:bookmarkStart w:id="424" w:name="_Toc23834"/>
            <w:bookmarkStart w:id="425" w:name="_Toc18868"/>
            <w:bookmarkStart w:id="426" w:name="_Toc256519728"/>
            <w:r>
              <w:rPr>
                <w:rFonts w:hint="eastAsia" w:ascii="仿宋" w:hAnsi="仿宋" w:eastAsia="仿宋" w:cs="仿宋"/>
                <w:color w:val="auto"/>
                <w:sz w:val="24"/>
                <w:szCs w:val="24"/>
                <w:highlight w:val="none"/>
              </w:rPr>
              <w:t>序号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3BB2D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A2A47B">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评分因素</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5F14139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52D5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00" w:type="dxa"/>
            <w:tcBorders>
              <w:top w:val="single" w:color="auto" w:sz="4" w:space="0"/>
              <w:left w:val="single" w:color="auto" w:sz="4" w:space="0"/>
              <w:right w:val="single" w:color="auto" w:sz="4" w:space="0"/>
            </w:tcBorders>
            <w:noWrap w:val="0"/>
            <w:vAlign w:val="center"/>
          </w:tcPr>
          <w:p w14:paraId="25DD05D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2A0277BE">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w:t>
            </w:r>
          </w:p>
        </w:tc>
        <w:tc>
          <w:tcPr>
            <w:tcW w:w="1519" w:type="dxa"/>
            <w:tcBorders>
              <w:top w:val="single" w:color="auto" w:sz="4" w:space="0"/>
              <w:left w:val="single" w:color="auto" w:sz="4" w:space="0"/>
              <w:right w:val="single" w:color="auto" w:sz="4" w:space="0"/>
            </w:tcBorders>
            <w:noWrap w:val="0"/>
            <w:vAlign w:val="center"/>
          </w:tcPr>
          <w:p w14:paraId="5E1B5493">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投标报价（</w:t>
            </w:r>
            <w:r>
              <w:rPr>
                <w:rFonts w:hint="eastAsia" w:ascii="仿宋" w:hAnsi="仿宋" w:eastAsia="仿宋" w:cs="仿宋"/>
                <w:color w:val="auto"/>
                <w:kern w:val="0"/>
                <w:sz w:val="24"/>
                <w:szCs w:val="24"/>
                <w:highlight w:val="none"/>
                <w:lang w:val="en-US" w:eastAsia="zh-CN"/>
              </w:rPr>
              <w:t>30分</w:t>
            </w:r>
            <w:r>
              <w:rPr>
                <w:rFonts w:hint="eastAsia" w:ascii="仿宋" w:hAnsi="仿宋" w:eastAsia="仿宋" w:cs="仿宋"/>
                <w:color w:val="auto"/>
                <w:kern w:val="0"/>
                <w:sz w:val="24"/>
                <w:szCs w:val="24"/>
                <w:highlight w:val="none"/>
                <w:lang w:val="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B66682A">
            <w:pPr>
              <w:keepNext w:val="0"/>
              <w:keepLines w:val="0"/>
              <w:pageBreakBefore w:val="0"/>
              <w:widowControl/>
              <w:kinsoku/>
              <w:wordWrap/>
              <w:overflowPunct/>
              <w:bidi w:val="0"/>
              <w:snapToGrid/>
              <w:spacing w:line="36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磋商报价</w:t>
            </w:r>
          </w:p>
          <w:p w14:paraId="4A95C132">
            <w:pPr>
              <w:spacing w:line="440" w:lineRule="exact"/>
              <w:jc w:val="center"/>
              <w:rPr>
                <w:rFonts w:hint="eastAsia" w:ascii="仿宋" w:hAnsi="仿宋" w:eastAsia="仿宋" w:cs="仿宋"/>
                <w:color w:val="auto"/>
                <w:sz w:val="24"/>
                <w:szCs w:val="24"/>
                <w:highlight w:val="none"/>
                <w:lang w:val="zh-CN"/>
              </w:rPr>
            </w:pPr>
            <w:r>
              <w:rPr>
                <w:rFonts w:hint="eastAsia" w:ascii="仿宋" w:hAnsi="仿宋" w:eastAsia="仿宋" w:cs="仿宋"/>
                <w:b w:val="0"/>
                <w:bCs/>
                <w:color w:val="auto"/>
                <w:sz w:val="24"/>
                <w:szCs w:val="24"/>
                <w:highlight w:val="none"/>
              </w:rPr>
              <w:t>评分标准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B778BAF">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价格分统一采用低价优先法计算，即满足竞争性磋商文件要求且二次磋商报价最低的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报价为</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基准价。</w:t>
            </w:r>
          </w:p>
          <w:p w14:paraId="04EDB92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的价格分统一按照下列公式计算：</w:t>
            </w:r>
          </w:p>
          <w:p w14:paraId="3013D0A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val="en-US" w:eastAsia="zh-CN"/>
              </w:rPr>
              <w:t>二次磋商</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p>
          <w:p w14:paraId="53770801">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D03909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最终得分计算保留小数点后两位。</w:t>
            </w:r>
          </w:p>
          <w:p w14:paraId="175FF2F6">
            <w:pPr>
              <w:keepNext w:val="0"/>
              <w:keepLines w:val="0"/>
              <w:pageBreakBefore w:val="0"/>
              <w:kinsoku/>
              <w:wordWrap/>
              <w:overflowPunct/>
              <w:bidi w:val="0"/>
              <w:snapToGrid/>
              <w:spacing w:line="360" w:lineRule="auto"/>
              <w:textAlignment w:val="auto"/>
              <w:rPr>
                <w:rFonts w:hint="default"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本项目为专门面向中小企业采购，不再执行价格扣除。供应商须提供《中小企业声明函》，否则投标将不被接受。</w:t>
            </w:r>
          </w:p>
        </w:tc>
      </w:tr>
      <w:tr w14:paraId="5770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0" w:type="dxa"/>
            <w:vMerge w:val="restart"/>
            <w:tcBorders>
              <w:left w:val="single" w:color="auto" w:sz="4" w:space="0"/>
              <w:right w:val="single" w:color="auto" w:sz="4" w:space="0"/>
            </w:tcBorders>
            <w:noWrap w:val="0"/>
            <w:vAlign w:val="center"/>
          </w:tcPr>
          <w:p w14:paraId="6EE2D97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760788C4">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62593C0F">
            <w:pPr>
              <w:autoSpaceDE w:val="0"/>
              <w:autoSpaceDN w:val="0"/>
              <w:adjustRightInd w:val="0"/>
              <w:rPr>
                <w:rFonts w:hint="eastAsia" w:ascii="仿宋" w:hAnsi="仿宋" w:eastAsia="仿宋" w:cs="仿宋"/>
                <w:color w:val="auto"/>
                <w:sz w:val="24"/>
                <w:szCs w:val="24"/>
                <w:highlight w:val="none"/>
              </w:rPr>
            </w:pPr>
          </w:p>
          <w:p w14:paraId="5EF5CC04">
            <w:pPr>
              <w:pStyle w:val="9"/>
              <w:rPr>
                <w:rFonts w:hint="eastAsia"/>
                <w:color w:val="auto"/>
                <w:sz w:val="24"/>
                <w:szCs w:val="24"/>
                <w:highlight w:val="none"/>
              </w:rPr>
            </w:pPr>
          </w:p>
        </w:tc>
        <w:tc>
          <w:tcPr>
            <w:tcW w:w="1519" w:type="dxa"/>
            <w:vMerge w:val="restart"/>
            <w:tcBorders>
              <w:left w:val="single" w:color="auto" w:sz="4" w:space="0"/>
              <w:right w:val="single" w:color="auto" w:sz="4" w:space="0"/>
            </w:tcBorders>
            <w:noWrap w:val="0"/>
            <w:vAlign w:val="center"/>
          </w:tcPr>
          <w:p w14:paraId="6CD9C4B6">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b w:val="0"/>
                <w:bCs/>
                <w:color w:val="auto"/>
                <w:sz w:val="24"/>
                <w:szCs w:val="24"/>
                <w:highlight w:val="none"/>
              </w:rPr>
              <w:t>技术部分</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50分</w:t>
            </w:r>
            <w:r>
              <w:rPr>
                <w:rFonts w:hint="eastAsia" w:ascii="仿宋" w:hAnsi="仿宋" w:eastAsia="仿宋" w:cs="仿宋"/>
                <w:color w:val="auto"/>
                <w:kern w:val="0"/>
                <w:sz w:val="24"/>
                <w:szCs w:val="24"/>
                <w:highlight w:val="none"/>
                <w:lang w:val="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097808F">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施工方案与技术措施</w:t>
            </w:r>
          </w:p>
          <w:p w14:paraId="0D4FDA5A">
            <w:pPr>
              <w:keepNext w:val="0"/>
              <w:keepLines w:val="0"/>
              <w:pageBreakBefore w:val="0"/>
              <w:kinsoku/>
              <w:wordWrap/>
              <w:overflowPunct/>
              <w:bidi w:val="0"/>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0906272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施工方案（含工程特点、施工重点与难点、施工工序及绿色施工）总体安排合理，有科学先进的施工工艺技术措施和施工办法，对施工难点有先进和合理的建议得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分；施工方案总体安排基本合理，施工工艺技术措施和施工办法一般，对施工难点有较合理的建议得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分；施工方案与技术措施仅做简单描述，对施工难点无合理的建议得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0CC3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00" w:type="dxa"/>
            <w:vMerge w:val="continue"/>
            <w:tcBorders>
              <w:left w:val="single" w:color="auto" w:sz="4" w:space="0"/>
              <w:right w:val="single" w:color="auto" w:sz="4" w:space="0"/>
            </w:tcBorders>
            <w:noWrap w:val="0"/>
            <w:vAlign w:val="center"/>
          </w:tcPr>
          <w:p w14:paraId="7D48C87A">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1BBC77D7">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6BAF931">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质量管理体系与措施</w:t>
            </w:r>
          </w:p>
          <w:p w14:paraId="337FA714">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6BF587B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组织机构形式合理，有完善的指挥系统、质量监控系统、联络协调系统，对项目提出先进、可行、具体的保证措施得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分；组织机构形式基本合理，有较完善的指挥系统、质量监控系统、联络协调系统，对项目提出的保证措施较一般得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分；组织机构形式过于简单，确保工程质量的技术组织措施较差得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5570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5552B081">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363BB5F1">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A8345C">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安全管理体系与措施</w:t>
            </w:r>
          </w:p>
          <w:p w14:paraId="2033F72C">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3E73E9A">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施工安全生产保障体系健全，安全管理制度完善，安全管理目标具体，全员安全责任制明确，制定相应的安全管理措施且具有可行性得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分；含有施工安全生产保障体系、安全责任制和安全管理制度，内容不全，制定有安全管理措施，可行性一般得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分；含有施工安全生产保障体系、安全责任制和安全管理制度，但安全管理措施不具备可行性得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5570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 w:type="dxa"/>
            <w:vMerge w:val="continue"/>
            <w:tcBorders>
              <w:left w:val="single" w:color="auto" w:sz="4" w:space="0"/>
              <w:right w:val="single" w:color="auto" w:sz="4" w:space="0"/>
            </w:tcBorders>
            <w:noWrap w:val="0"/>
            <w:vAlign w:val="center"/>
          </w:tcPr>
          <w:p w14:paraId="589D6BC1">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F6E8E15">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09CF175">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文明施工、环境保护管理体系</w:t>
            </w:r>
          </w:p>
          <w:p w14:paraId="3E0D9368">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5F5CE8C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环境保护与文明施工管理组织机构及职责，文明施工管理措施，扬尘污染防治方案及建筑垃圾处置方案等内容全</w:t>
            </w:r>
          </w:p>
          <w:p w14:paraId="61FF52E5">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面、措施合理得6分；较合理的得4 分；一般的得2分。缺项不得分。</w:t>
            </w:r>
          </w:p>
        </w:tc>
      </w:tr>
      <w:tr w14:paraId="2C44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6DBD56A7">
            <w:pPr>
              <w:autoSpaceDE w:val="0"/>
              <w:autoSpaceDN w:val="0"/>
              <w:adjustRightInd w:val="0"/>
              <w:rPr>
                <w:rFonts w:hint="eastAsia" w:ascii="仿宋" w:hAnsi="仿宋" w:eastAsia="仿宋" w:cs="仿宋"/>
                <w:color w:val="auto"/>
                <w:sz w:val="24"/>
                <w:szCs w:val="24"/>
                <w:highlight w:val="none"/>
              </w:rPr>
            </w:pPr>
          </w:p>
        </w:tc>
        <w:tc>
          <w:tcPr>
            <w:tcW w:w="1519" w:type="dxa"/>
            <w:tcBorders>
              <w:left w:val="single" w:color="auto" w:sz="4" w:space="0"/>
              <w:right w:val="single" w:color="auto" w:sz="4" w:space="0"/>
            </w:tcBorders>
            <w:noWrap w:val="0"/>
            <w:vAlign w:val="center"/>
          </w:tcPr>
          <w:p w14:paraId="676602AE">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061CB6">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工期保证措施</w:t>
            </w:r>
          </w:p>
          <w:p w14:paraId="2FC5254A">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1741DF2B">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工期保证措施合理、科学、可行且有针对性，有具体的违约责任承诺得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分；工期保证措施较合理、科学、可行，针对性一般，有违约责任承诺得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分；工期保证措施描述较差，无针对性得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13BA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0" w:type="dxa"/>
            <w:vMerge w:val="continue"/>
            <w:tcBorders>
              <w:left w:val="single" w:color="auto" w:sz="4" w:space="0"/>
              <w:right w:val="single" w:color="auto" w:sz="4" w:space="0"/>
            </w:tcBorders>
            <w:noWrap w:val="0"/>
            <w:vAlign w:val="center"/>
          </w:tcPr>
          <w:p w14:paraId="66462B7A">
            <w:pPr>
              <w:autoSpaceDE w:val="0"/>
              <w:autoSpaceDN w:val="0"/>
              <w:adjustRightInd w:val="0"/>
              <w:rPr>
                <w:rFonts w:hint="eastAsia" w:ascii="仿宋" w:hAnsi="仿宋" w:eastAsia="仿宋" w:cs="仿宋"/>
                <w:color w:val="auto"/>
                <w:sz w:val="24"/>
                <w:szCs w:val="24"/>
                <w:highlight w:val="none"/>
              </w:rPr>
            </w:pPr>
          </w:p>
        </w:tc>
        <w:tc>
          <w:tcPr>
            <w:tcW w:w="1519" w:type="dxa"/>
            <w:vMerge w:val="restart"/>
            <w:tcBorders>
              <w:left w:val="single" w:color="auto" w:sz="4" w:space="0"/>
              <w:right w:val="single" w:color="auto" w:sz="4" w:space="0"/>
            </w:tcBorders>
            <w:noWrap w:val="0"/>
            <w:vAlign w:val="center"/>
          </w:tcPr>
          <w:p w14:paraId="3405ADBD">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2E4EE7">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拟投入资源配备计划（</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68518E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机械、劳动力、主要物资配备计划与进度计划呼应，完全满足施工需要，调配投入计划合理、准确得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分；机械、劳动力、主要物资配备与进度计划呼应，基本满足施工需要，调配投入计划较合理、准确得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分；机械、劳动力、主要物资配备不够合理、不够准确得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69A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00" w:type="dxa"/>
            <w:vMerge w:val="continue"/>
            <w:tcBorders>
              <w:left w:val="single" w:color="auto" w:sz="4" w:space="0"/>
              <w:right w:val="single" w:color="auto" w:sz="4" w:space="0"/>
            </w:tcBorders>
            <w:noWrap w:val="0"/>
            <w:vAlign w:val="center"/>
          </w:tcPr>
          <w:p w14:paraId="3955BC9A">
            <w:pPr>
              <w:pStyle w:val="9"/>
              <w:rPr>
                <w:rFonts w:hint="eastAsia"/>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2B375959">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8345633">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施工总平面图布置（</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EE154FD">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总体布置有针对性、合理、完全满足施工需要，符合安全、文明施工要求，材料堆放有序得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分；总体布置较合理、基本满足施工需要得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分；总体布置情况较乱，不能满足安全、文明施工要求得1分。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75B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continue"/>
            <w:tcBorders>
              <w:left w:val="single" w:color="auto" w:sz="4" w:space="0"/>
              <w:right w:val="single" w:color="auto" w:sz="4" w:space="0"/>
            </w:tcBorders>
            <w:noWrap w:val="0"/>
            <w:vAlign w:val="center"/>
          </w:tcPr>
          <w:p w14:paraId="1AC9179F">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6659A13F">
            <w:pPr>
              <w:autoSpaceDE w:val="0"/>
              <w:autoSpaceDN w:val="0"/>
              <w:adjustRightInd w:val="0"/>
              <w:jc w:val="center"/>
              <w:rPr>
                <w:rFonts w:hint="eastAsia" w:ascii="仿宋" w:hAnsi="仿宋" w:eastAsia="仿宋" w:cs="仿宋"/>
                <w:color w:val="auto"/>
                <w:sz w:val="24"/>
                <w:szCs w:val="24"/>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78027AE">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项目风险预测与防范、事故应急预案</w:t>
            </w:r>
          </w:p>
          <w:p w14:paraId="671C4213">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41F7D269">
            <w:pPr>
              <w:keepNext w:val="0"/>
              <w:keepLines w:val="0"/>
              <w:pageBreakBefore w:val="0"/>
              <w:kinsoku/>
              <w:wordWrap/>
              <w:overflowPunct/>
              <w:bidi w:val="0"/>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项目风险预测与防控管理措施齐全，风险预控符合规范要求，风险控制要点定位准确，各阶段风险控制及应急措施得力。表述准确合理完整、清晰，有针对性的得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表述准确</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合理完整、清晰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针对性</w:t>
            </w:r>
            <w:r>
              <w:rPr>
                <w:rFonts w:hint="eastAsia" w:ascii="仿宋" w:hAnsi="仿宋" w:eastAsia="仿宋" w:cs="仿宋"/>
                <w:color w:val="auto"/>
                <w:sz w:val="24"/>
                <w:szCs w:val="24"/>
                <w:highlight w:val="none"/>
                <w:lang w:val="en-US" w:eastAsia="zh-CN"/>
              </w:rPr>
              <w:t>较强</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；一般得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缺项不得分</w:t>
            </w:r>
            <w:r>
              <w:rPr>
                <w:rFonts w:hint="eastAsia" w:ascii="仿宋" w:hAnsi="仿宋" w:eastAsia="仿宋" w:cs="仿宋"/>
                <w:color w:val="auto"/>
                <w:sz w:val="24"/>
                <w:szCs w:val="24"/>
                <w:highlight w:val="none"/>
                <w:lang w:eastAsia="zh-CN"/>
              </w:rPr>
              <w:t>。</w:t>
            </w:r>
          </w:p>
        </w:tc>
      </w:tr>
      <w:tr w14:paraId="3B63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00" w:type="dxa"/>
            <w:vMerge w:val="restart"/>
            <w:tcBorders>
              <w:left w:val="single" w:color="auto" w:sz="4" w:space="0"/>
              <w:right w:val="single" w:color="auto" w:sz="4" w:space="0"/>
            </w:tcBorders>
            <w:noWrap w:val="0"/>
            <w:vAlign w:val="center"/>
          </w:tcPr>
          <w:p w14:paraId="0A3BABD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p>
          <w:p w14:paraId="02F9CE3F">
            <w:pPr>
              <w:autoSpaceDE w:val="0"/>
              <w:autoSpaceDN w:val="0"/>
              <w:adjustRightInd w:val="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tc>
        <w:tc>
          <w:tcPr>
            <w:tcW w:w="1519" w:type="dxa"/>
            <w:vMerge w:val="restart"/>
            <w:tcBorders>
              <w:left w:val="single" w:color="auto" w:sz="4" w:space="0"/>
              <w:right w:val="single" w:color="auto" w:sz="4" w:space="0"/>
            </w:tcBorders>
            <w:noWrap w:val="0"/>
            <w:vAlign w:val="center"/>
          </w:tcPr>
          <w:p w14:paraId="574E9D42">
            <w:pPr>
              <w:autoSpaceDE w:val="0"/>
              <w:autoSpaceDN w:val="0"/>
              <w:adjustRightInd w:val="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zh-CN"/>
              </w:rPr>
              <w:t>商务部分（</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lang w:val="zh-CN"/>
              </w:rPr>
              <w:t>分）</w:t>
            </w:r>
          </w:p>
        </w:tc>
        <w:tc>
          <w:tcPr>
            <w:tcW w:w="1892" w:type="dxa"/>
            <w:tcBorders>
              <w:top w:val="single" w:color="auto" w:sz="4" w:space="0"/>
              <w:left w:val="single" w:color="auto" w:sz="4" w:space="0"/>
              <w:right w:val="single" w:color="auto" w:sz="4" w:space="0"/>
            </w:tcBorders>
            <w:noWrap w:val="0"/>
            <w:vAlign w:val="center"/>
          </w:tcPr>
          <w:p w14:paraId="4052422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p w14:paraId="3CE7A0C7">
            <w:pPr>
              <w:keepNext w:val="0"/>
              <w:keepLines w:val="0"/>
              <w:pageBreakBefore w:val="0"/>
              <w:widowControl w:val="0"/>
              <w:kinsoku/>
              <w:wordWrap/>
              <w:overflowPunct/>
              <w:topLinePunct w:val="0"/>
              <w:bidi w:val="0"/>
              <w:snapToGrid/>
              <w:spacing w:line="360" w:lineRule="auto"/>
              <w:jc w:val="center"/>
              <w:textAlignment w:val="auto"/>
              <w:rPr>
                <w:rFonts w:hint="eastAsia"/>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C5DC4B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供应商具有2022年01月01日以来（以合同签订时间为准）的类似工程业绩，每提供一项得2分，本项最高得6分。 </w:t>
            </w:r>
          </w:p>
          <w:p w14:paraId="72B0577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注：响应文件中须附成交（中标）通知书、合同协议书的复印件或扫描件并加盖公章，不提供或未按要求提供的不得分。</w:t>
            </w:r>
          </w:p>
        </w:tc>
      </w:tr>
      <w:tr w14:paraId="75EC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00" w:type="dxa"/>
            <w:vMerge w:val="continue"/>
            <w:tcBorders>
              <w:left w:val="single" w:color="auto" w:sz="4" w:space="0"/>
              <w:right w:val="single" w:color="auto" w:sz="4" w:space="0"/>
            </w:tcBorders>
            <w:noWrap w:val="0"/>
            <w:vAlign w:val="center"/>
          </w:tcPr>
          <w:p w14:paraId="650C84CA">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397CE39">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1892" w:type="dxa"/>
            <w:tcBorders>
              <w:top w:val="single" w:color="auto" w:sz="4" w:space="0"/>
              <w:left w:val="single" w:color="auto" w:sz="4" w:space="0"/>
              <w:right w:val="single" w:color="auto" w:sz="4" w:space="0"/>
            </w:tcBorders>
            <w:noWrap w:val="0"/>
            <w:vAlign w:val="center"/>
          </w:tcPr>
          <w:p w14:paraId="56D654B8">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拟派项目</w:t>
            </w:r>
          </w:p>
          <w:p w14:paraId="20B1EBED">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管理人员</w:t>
            </w:r>
          </w:p>
          <w:p w14:paraId="53D28D83">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57CF4B7">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各专业人员配套齐全，提供施工员、质量员、专职安全员、 </w:t>
            </w:r>
          </w:p>
          <w:p w14:paraId="1B9DD3E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材料员、预算员，以上人员同时具有有效岗位证书，提供资料齐全的得5分，缺一项扣1分，扣完为止。 </w:t>
            </w:r>
          </w:p>
          <w:p w14:paraId="1F14B97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注：响应文件中附以上人员证书原件扫描件及单位为其缴纳的社保证明，未提供或无法辨识的不得分。</w:t>
            </w:r>
          </w:p>
        </w:tc>
      </w:tr>
      <w:tr w14:paraId="1FA9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00" w:type="dxa"/>
            <w:vMerge w:val="continue"/>
            <w:tcBorders>
              <w:left w:val="single" w:color="auto" w:sz="4" w:space="0"/>
              <w:right w:val="single" w:color="auto" w:sz="4" w:space="0"/>
            </w:tcBorders>
            <w:noWrap w:val="0"/>
            <w:vAlign w:val="center"/>
          </w:tcPr>
          <w:p w14:paraId="408294AB">
            <w:pPr>
              <w:autoSpaceDE w:val="0"/>
              <w:autoSpaceDN w:val="0"/>
              <w:adjustRightInd w:val="0"/>
              <w:rPr>
                <w:rFonts w:hint="eastAsia" w:ascii="仿宋" w:hAnsi="仿宋" w:eastAsia="仿宋" w:cs="仿宋"/>
                <w:color w:val="auto"/>
                <w:sz w:val="24"/>
                <w:szCs w:val="24"/>
                <w:highlight w:val="none"/>
              </w:rPr>
            </w:pPr>
          </w:p>
        </w:tc>
        <w:tc>
          <w:tcPr>
            <w:tcW w:w="1519" w:type="dxa"/>
            <w:vMerge w:val="continue"/>
            <w:tcBorders>
              <w:left w:val="single" w:color="auto" w:sz="4" w:space="0"/>
              <w:right w:val="single" w:color="auto" w:sz="4" w:space="0"/>
            </w:tcBorders>
            <w:noWrap w:val="0"/>
            <w:vAlign w:val="center"/>
          </w:tcPr>
          <w:p w14:paraId="718557A8">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069834">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服务承诺</w:t>
            </w:r>
          </w:p>
          <w:p w14:paraId="3097731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5455A7D">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1、服务承诺内容：含应急突发事件、环境卫生、噪音、农民工工资工作方面的承诺，且措施合理可行、且满足采购人需求的程度承诺（5分）：</w:t>
            </w:r>
          </w:p>
          <w:p w14:paraId="0B83EBAC">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①响应以上内容要求，承诺内容、形式、方案详实、服务承诺条理清晰、步骤具体，对本项目有针对性得5分。</w:t>
            </w:r>
          </w:p>
          <w:p w14:paraId="279AF8D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②响应以上内容要求，承诺内容、形式，方案基本详实、服务承诺条理基本清晰、步骤基本具体的得3分。</w:t>
            </w:r>
          </w:p>
          <w:p w14:paraId="5E56B73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③响应以上内容要求，服务的内容、形式，方案不够明确的得1分。</w:t>
            </w:r>
          </w:p>
          <w:p w14:paraId="43CAA00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p w14:paraId="1E538111">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2、保修期内、外的服务承诺（4分）：</w:t>
            </w:r>
          </w:p>
          <w:p w14:paraId="0028CF25">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①承诺内容优于项目需求，且承诺科学、合理、切实可行的得4分。</w:t>
            </w:r>
          </w:p>
          <w:p w14:paraId="71D80BCD">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②承诺满足要求，承诺条理清晰、步骤具体的得3分。</w:t>
            </w:r>
          </w:p>
          <w:p w14:paraId="78BE9D4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③承诺基本满足要求，承诺条理基本清晰、步骤基本具体的得1分。</w:t>
            </w:r>
          </w:p>
          <w:p w14:paraId="3F19496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tc>
      </w:tr>
      <w:bookmarkEnd w:id="421"/>
      <w:bookmarkEnd w:id="422"/>
      <w:bookmarkEnd w:id="423"/>
      <w:bookmarkEnd w:id="424"/>
      <w:bookmarkEnd w:id="425"/>
      <w:bookmarkEnd w:id="426"/>
    </w:tbl>
    <w:p w14:paraId="7B7B9004">
      <w:pPr>
        <w:rPr>
          <w:rFonts w:hint="eastAsia" w:ascii="仿宋" w:hAnsi="仿宋" w:eastAsia="仿宋" w:cs="仿宋"/>
          <w:color w:val="auto"/>
          <w:sz w:val="24"/>
          <w:szCs w:val="24"/>
          <w:highlight w:val="none"/>
        </w:rPr>
      </w:pPr>
      <w:bookmarkStart w:id="427" w:name="_Toc2081"/>
      <w:bookmarkStart w:id="428" w:name="_Toc11726"/>
      <w:bookmarkStart w:id="429" w:name="_Toc532034254"/>
      <w:bookmarkStart w:id="430" w:name="_Toc2281"/>
      <w:bookmarkStart w:id="431" w:name="_Toc532034697"/>
      <w:r>
        <w:rPr>
          <w:rFonts w:hint="eastAsia" w:ascii="仿宋" w:hAnsi="仿宋" w:eastAsia="仿宋" w:cs="仿宋"/>
          <w:color w:val="auto"/>
          <w:sz w:val="24"/>
          <w:szCs w:val="24"/>
          <w:highlight w:val="none"/>
        </w:rPr>
        <w:br w:type="page"/>
      </w:r>
    </w:p>
    <w:p w14:paraId="06E26ACC">
      <w:pPr>
        <w:pStyle w:val="24"/>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1.评标方法</w:t>
      </w:r>
      <w:bookmarkEnd w:id="427"/>
      <w:bookmarkEnd w:id="428"/>
      <w:bookmarkEnd w:id="429"/>
      <w:r>
        <w:rPr>
          <w:rFonts w:hint="eastAsia" w:ascii="仿宋" w:hAnsi="仿宋" w:eastAsia="仿宋" w:cs="仿宋"/>
          <w:color w:val="auto"/>
          <w:sz w:val="24"/>
          <w:szCs w:val="24"/>
          <w:highlight w:val="none"/>
        </w:rPr>
        <w:t xml:space="preserve"> </w:t>
      </w:r>
    </w:p>
    <w:p w14:paraId="589E555D">
      <w:pPr>
        <w:spacing w:line="360" w:lineRule="auto"/>
        <w:ind w:firstLine="480" w:firstLineChars="200"/>
        <w:rPr>
          <w:rFonts w:hint="eastAsia" w:ascii="仿宋" w:hAnsi="仿宋" w:eastAsia="仿宋" w:cs="仿宋"/>
          <w:color w:val="auto"/>
          <w:sz w:val="24"/>
          <w:szCs w:val="24"/>
          <w:highlight w:val="none"/>
        </w:rPr>
      </w:pPr>
      <w:bookmarkStart w:id="432" w:name="_Toc256519729"/>
      <w:bookmarkStart w:id="433" w:name="_Toc346731842"/>
      <w:bookmarkStart w:id="434" w:name="_Toc17153"/>
      <w:bookmarkStart w:id="435" w:name="_Toc955"/>
      <w:bookmarkStart w:id="436" w:name="_Toc254788515"/>
      <w:bookmarkStart w:id="437" w:name="_Toc11627"/>
      <w:r>
        <w:rPr>
          <w:rFonts w:hint="eastAsia" w:ascii="仿宋" w:hAnsi="仿宋" w:eastAsia="仿宋" w:cs="仿宋"/>
          <w:color w:val="auto"/>
          <w:sz w:val="24"/>
          <w:szCs w:val="24"/>
          <w:highlight w:val="none"/>
        </w:rPr>
        <w:t>本次评标采用综合评分法。磋商小组对满足磋商文件实质性要求的响应文件，按照本章第2.2款规定的评分标准进行打分，并按得分由高到低顺序推荐成交候选人，或根据采购人授权直接确定成交人，但磋商报价低于其成本的除外。综合评分相等时，以磋商报价低的优先；磋商报价也相等的，由采购人自行确定。</w:t>
      </w:r>
    </w:p>
    <w:bookmarkEnd w:id="432"/>
    <w:bookmarkEnd w:id="433"/>
    <w:bookmarkEnd w:id="434"/>
    <w:bookmarkEnd w:id="435"/>
    <w:bookmarkEnd w:id="436"/>
    <w:bookmarkEnd w:id="437"/>
    <w:p w14:paraId="32C5D5BB">
      <w:pPr>
        <w:pStyle w:val="24"/>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bookmarkStart w:id="438" w:name="_Toc26145"/>
      <w:bookmarkStart w:id="439" w:name="_Toc30666"/>
      <w:bookmarkStart w:id="440" w:name="_Toc152045601"/>
      <w:bookmarkStart w:id="441" w:name="_Toc144974568"/>
      <w:bookmarkStart w:id="442" w:name="_Toc9475"/>
      <w:bookmarkStart w:id="443" w:name="_Toc152042378"/>
      <w:bookmarkStart w:id="444" w:name="_Toc254788517"/>
      <w:bookmarkStart w:id="445" w:name="_Toc17390"/>
      <w:bookmarkStart w:id="446" w:name="_Toc346731844"/>
      <w:bookmarkStart w:id="447" w:name="_Toc256519734"/>
      <w:bookmarkStart w:id="448" w:name="_Toc31154"/>
      <w:bookmarkStart w:id="449" w:name="_Toc18230"/>
      <w:r>
        <w:rPr>
          <w:rFonts w:hint="eastAsia" w:ascii="仿宋" w:hAnsi="仿宋" w:eastAsia="仿宋" w:cs="仿宋"/>
          <w:color w:val="auto"/>
          <w:sz w:val="24"/>
          <w:szCs w:val="24"/>
          <w:highlight w:val="none"/>
        </w:rPr>
        <w:t>2. 评审标准</w:t>
      </w:r>
      <w:bookmarkEnd w:id="438"/>
      <w:bookmarkEnd w:id="439"/>
      <w:bookmarkEnd w:id="440"/>
      <w:bookmarkEnd w:id="441"/>
      <w:bookmarkEnd w:id="442"/>
      <w:bookmarkEnd w:id="443"/>
    </w:p>
    <w:p w14:paraId="5BBE39F5">
      <w:pPr>
        <w:pStyle w:val="51"/>
        <w:spacing w:line="360" w:lineRule="auto"/>
        <w:rPr>
          <w:rFonts w:hint="eastAsia" w:ascii="仿宋" w:hAnsi="仿宋" w:eastAsia="仿宋" w:cs="仿宋"/>
          <w:color w:val="auto"/>
          <w:sz w:val="24"/>
          <w:szCs w:val="24"/>
          <w:highlight w:val="none"/>
        </w:rPr>
      </w:pPr>
      <w:bookmarkStart w:id="450" w:name="_Toc28963"/>
      <w:bookmarkStart w:id="451" w:name="_Toc144974569"/>
      <w:bookmarkStart w:id="452" w:name="_Toc23979"/>
      <w:bookmarkStart w:id="453" w:name="_Toc20334"/>
      <w:bookmarkStart w:id="454" w:name="_Toc152042379"/>
      <w:bookmarkStart w:id="455" w:name="_Toc152045602"/>
      <w:bookmarkStart w:id="456" w:name="_Toc3080"/>
      <w:bookmarkStart w:id="457" w:name="_Toc5543"/>
      <w:r>
        <w:rPr>
          <w:rFonts w:hint="eastAsia" w:ascii="仿宋" w:hAnsi="仿宋" w:eastAsia="仿宋" w:cs="仿宋"/>
          <w:color w:val="auto"/>
          <w:sz w:val="24"/>
          <w:szCs w:val="24"/>
          <w:highlight w:val="none"/>
        </w:rPr>
        <w:t>2.1 初步评审标准</w:t>
      </w:r>
      <w:bookmarkEnd w:id="450"/>
      <w:bookmarkEnd w:id="451"/>
      <w:bookmarkEnd w:id="452"/>
      <w:bookmarkEnd w:id="453"/>
      <w:bookmarkEnd w:id="454"/>
      <w:bookmarkEnd w:id="455"/>
      <w:bookmarkEnd w:id="456"/>
      <w:bookmarkEnd w:id="457"/>
    </w:p>
    <w:bookmarkEnd w:id="444"/>
    <w:bookmarkEnd w:id="445"/>
    <w:bookmarkEnd w:id="446"/>
    <w:bookmarkEnd w:id="447"/>
    <w:bookmarkEnd w:id="448"/>
    <w:bookmarkEnd w:id="449"/>
    <w:p w14:paraId="2CA2189A">
      <w:pPr>
        <w:pStyle w:val="51"/>
        <w:spacing w:line="360" w:lineRule="auto"/>
        <w:rPr>
          <w:rFonts w:hint="eastAsia" w:ascii="仿宋" w:hAnsi="仿宋" w:eastAsia="仿宋" w:cs="仿宋"/>
          <w:color w:val="auto"/>
          <w:sz w:val="24"/>
          <w:szCs w:val="24"/>
          <w:highlight w:val="none"/>
        </w:rPr>
      </w:pPr>
      <w:bookmarkStart w:id="458" w:name="_Toc7871"/>
      <w:bookmarkStart w:id="459" w:name="_Toc17013"/>
      <w:bookmarkStart w:id="460" w:name="_Toc29383"/>
      <w:bookmarkStart w:id="461" w:name="_Toc9323"/>
      <w:bookmarkStart w:id="462" w:name="_Toc15932"/>
      <w:bookmarkStart w:id="463" w:name="_Toc256519736"/>
      <w:bookmarkStart w:id="464" w:name="_Toc19512"/>
      <w:bookmarkStart w:id="465" w:name="_Toc14575"/>
      <w:r>
        <w:rPr>
          <w:rFonts w:hint="eastAsia" w:ascii="仿宋" w:hAnsi="仿宋" w:eastAsia="仿宋" w:cs="仿宋"/>
          <w:color w:val="auto"/>
          <w:sz w:val="24"/>
          <w:szCs w:val="24"/>
          <w:highlight w:val="none"/>
        </w:rPr>
        <w:t>2.1 初步评审标准</w:t>
      </w:r>
      <w:bookmarkEnd w:id="458"/>
      <w:bookmarkEnd w:id="459"/>
      <w:bookmarkEnd w:id="460"/>
      <w:bookmarkEnd w:id="461"/>
    </w:p>
    <w:p w14:paraId="37DB00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2.1.1 资格评审标准：见评标办法前附表。 </w:t>
      </w:r>
    </w:p>
    <w:p w14:paraId="6FD9A1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 初步评审标准：见评标办法前附表。</w:t>
      </w:r>
    </w:p>
    <w:p w14:paraId="5B0BCDE8">
      <w:pPr>
        <w:pStyle w:val="51"/>
        <w:spacing w:line="360" w:lineRule="auto"/>
        <w:rPr>
          <w:rFonts w:hint="eastAsia" w:ascii="仿宋" w:hAnsi="仿宋" w:eastAsia="仿宋" w:cs="仿宋"/>
          <w:color w:val="auto"/>
          <w:sz w:val="24"/>
          <w:szCs w:val="24"/>
          <w:highlight w:val="none"/>
        </w:rPr>
      </w:pPr>
      <w:bookmarkStart w:id="466" w:name="_Toc537"/>
      <w:bookmarkStart w:id="467" w:name="_Toc152042380"/>
      <w:bookmarkStart w:id="468" w:name="_Toc152045603"/>
      <w:bookmarkStart w:id="469" w:name="_Toc32643"/>
      <w:bookmarkStart w:id="470" w:name="_Toc144974570"/>
      <w:bookmarkStart w:id="471" w:name="_Toc23462"/>
      <w:bookmarkStart w:id="472" w:name="_Toc31502"/>
      <w:bookmarkStart w:id="473" w:name="_Toc6940"/>
      <w:r>
        <w:rPr>
          <w:rFonts w:hint="eastAsia" w:ascii="仿宋" w:hAnsi="仿宋" w:eastAsia="仿宋" w:cs="仿宋"/>
          <w:color w:val="auto"/>
          <w:sz w:val="24"/>
          <w:szCs w:val="24"/>
          <w:highlight w:val="none"/>
        </w:rPr>
        <w:t>2.2 分值构成与评分标准</w:t>
      </w:r>
      <w:bookmarkEnd w:id="466"/>
      <w:bookmarkEnd w:id="467"/>
      <w:bookmarkEnd w:id="468"/>
      <w:bookmarkEnd w:id="469"/>
      <w:bookmarkEnd w:id="470"/>
      <w:bookmarkEnd w:id="471"/>
      <w:bookmarkEnd w:id="472"/>
      <w:bookmarkEnd w:id="473"/>
    </w:p>
    <w:bookmarkEnd w:id="462"/>
    <w:bookmarkEnd w:id="463"/>
    <w:bookmarkEnd w:id="464"/>
    <w:bookmarkEnd w:id="465"/>
    <w:p w14:paraId="6C658E0C">
      <w:pPr>
        <w:spacing w:line="360" w:lineRule="auto"/>
        <w:ind w:firstLine="480" w:firstLineChars="200"/>
        <w:rPr>
          <w:rFonts w:hint="eastAsia" w:ascii="仿宋" w:hAnsi="仿宋" w:eastAsia="仿宋" w:cs="仿宋"/>
          <w:color w:val="auto"/>
          <w:sz w:val="24"/>
          <w:szCs w:val="24"/>
          <w:highlight w:val="none"/>
        </w:rPr>
      </w:pPr>
      <w:bookmarkStart w:id="474" w:name="_Toc346731845"/>
      <w:bookmarkStart w:id="475" w:name="_Toc256519738"/>
      <w:bookmarkStart w:id="476" w:name="_Toc11128"/>
      <w:bookmarkStart w:id="477" w:name="_Toc18548"/>
      <w:bookmarkStart w:id="478" w:name="_Toc3164"/>
      <w:bookmarkStart w:id="479" w:name="_Toc254788518"/>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分值构成</w:t>
      </w:r>
    </w:p>
    <w:p w14:paraId="5771A4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（1）报价部分：见评标办法前附表；</w:t>
      </w:r>
    </w:p>
    <w:p w14:paraId="13A77D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部分：见评标办法前附表；</w:t>
      </w:r>
    </w:p>
    <w:p w14:paraId="395F06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部分：见评标办法前附表；</w:t>
      </w:r>
    </w:p>
    <w:p w14:paraId="3A7AF0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评分标准</w:t>
      </w:r>
    </w:p>
    <w:p w14:paraId="28AD80A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（1）报价部分评分标准：见评标办法前附表；</w:t>
      </w:r>
    </w:p>
    <w:p w14:paraId="352599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部分评分标准：见评标办法前附表；</w:t>
      </w:r>
    </w:p>
    <w:p w14:paraId="526B27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部分评分标准：见评标办法前附表；</w:t>
      </w:r>
    </w:p>
    <w:p w14:paraId="0EF20378">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3、评标程序</w:t>
      </w:r>
      <w:bookmarkEnd w:id="474"/>
      <w:bookmarkEnd w:id="475"/>
      <w:bookmarkEnd w:id="476"/>
      <w:bookmarkEnd w:id="477"/>
      <w:bookmarkEnd w:id="478"/>
      <w:bookmarkEnd w:id="479"/>
      <w:r>
        <w:rPr>
          <w:rFonts w:hint="eastAsia" w:ascii="仿宋" w:hAnsi="仿宋" w:eastAsia="仿宋" w:cs="仿宋"/>
          <w:color w:val="auto"/>
          <w:sz w:val="24"/>
          <w:szCs w:val="24"/>
          <w:highlight w:val="none"/>
        </w:rPr>
        <w:t xml:space="preserve"> </w:t>
      </w:r>
    </w:p>
    <w:p w14:paraId="6089F1B6">
      <w:pPr>
        <w:spacing w:line="360" w:lineRule="auto"/>
        <w:ind w:firstLine="523" w:firstLineChars="218"/>
        <w:rPr>
          <w:rFonts w:hint="eastAsia" w:ascii="仿宋" w:hAnsi="仿宋" w:eastAsia="仿宋" w:cs="仿宋"/>
          <w:color w:val="auto"/>
          <w:sz w:val="24"/>
          <w:szCs w:val="24"/>
          <w:highlight w:val="none"/>
        </w:rPr>
      </w:pPr>
      <w:bookmarkStart w:id="480" w:name="_Toc256519739"/>
      <w:bookmarkStart w:id="481" w:name="_Toc346731846"/>
      <w:bookmarkStart w:id="482" w:name="_Toc23044"/>
      <w:bookmarkStart w:id="483" w:name="_Toc7215"/>
      <w:bookmarkStart w:id="484" w:name="_Toc3240"/>
      <w:bookmarkStart w:id="485" w:name="_Toc254788519"/>
      <w:r>
        <w:rPr>
          <w:rFonts w:hint="eastAsia" w:ascii="仿宋" w:hAnsi="仿宋" w:eastAsia="仿宋" w:cs="仿宋"/>
          <w:color w:val="auto"/>
          <w:sz w:val="24"/>
          <w:szCs w:val="24"/>
          <w:highlight w:val="none"/>
        </w:rPr>
        <w:t>3.1初步评审</w:t>
      </w:r>
      <w:bookmarkEnd w:id="480"/>
      <w:bookmarkEnd w:id="481"/>
      <w:bookmarkEnd w:id="482"/>
      <w:bookmarkEnd w:id="483"/>
      <w:bookmarkEnd w:id="484"/>
      <w:bookmarkEnd w:id="485"/>
      <w:r>
        <w:rPr>
          <w:rFonts w:hint="eastAsia" w:ascii="仿宋" w:hAnsi="仿宋" w:eastAsia="仿宋" w:cs="仿宋"/>
          <w:color w:val="auto"/>
          <w:sz w:val="24"/>
          <w:szCs w:val="24"/>
          <w:highlight w:val="none"/>
        </w:rPr>
        <w:t xml:space="preserve"> </w:t>
      </w:r>
    </w:p>
    <w:p w14:paraId="3C616EDF">
      <w:pPr>
        <w:spacing w:line="360" w:lineRule="auto"/>
        <w:ind w:firstLine="523" w:firstLineChars="218"/>
        <w:rPr>
          <w:rFonts w:hint="eastAsia" w:ascii="仿宋" w:hAnsi="仿宋" w:eastAsia="仿宋" w:cs="仿宋"/>
          <w:color w:val="auto"/>
          <w:sz w:val="24"/>
          <w:szCs w:val="24"/>
          <w:highlight w:val="none"/>
        </w:rPr>
      </w:pPr>
      <w:bookmarkStart w:id="486" w:name="_Toc24988"/>
      <w:bookmarkStart w:id="487" w:name="_Toc325"/>
      <w:bookmarkStart w:id="488" w:name="_Toc256519740"/>
      <w:bookmarkStart w:id="489" w:name="_Toc23705"/>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依据本章规定的评审标准对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进行初步评审。有一项不符合评审标准的，其投标将被否决。</w:t>
      </w:r>
      <w:bookmarkEnd w:id="486"/>
      <w:bookmarkEnd w:id="487"/>
      <w:bookmarkEnd w:id="488"/>
      <w:bookmarkEnd w:id="489"/>
    </w:p>
    <w:p w14:paraId="2E6655C0">
      <w:pPr>
        <w:spacing w:line="360" w:lineRule="auto"/>
        <w:ind w:firstLine="523" w:firstLineChars="218"/>
        <w:rPr>
          <w:rFonts w:hint="eastAsia" w:ascii="仿宋" w:hAnsi="仿宋" w:eastAsia="仿宋" w:cs="仿宋"/>
          <w:color w:val="auto"/>
          <w:sz w:val="24"/>
          <w:szCs w:val="24"/>
          <w:highlight w:val="none"/>
        </w:rPr>
      </w:pPr>
      <w:bookmarkStart w:id="490" w:name="_Toc21573"/>
      <w:bookmarkStart w:id="491" w:name="_Toc14712"/>
      <w:bookmarkStart w:id="492" w:name="_Toc21810"/>
      <w:bookmarkStart w:id="493" w:name="_Toc256519741"/>
      <w:r>
        <w:rPr>
          <w:rFonts w:hint="eastAsia" w:ascii="仿宋" w:hAnsi="仿宋" w:eastAsia="仿宋" w:cs="仿宋"/>
          <w:color w:val="auto"/>
          <w:sz w:val="24"/>
          <w:szCs w:val="24"/>
          <w:highlight w:val="none"/>
        </w:rPr>
        <w:t>3.1.2供应商有以下情形之一的，其投标将被否决：</w:t>
      </w:r>
      <w:bookmarkEnd w:id="490"/>
      <w:bookmarkEnd w:id="491"/>
      <w:bookmarkEnd w:id="492"/>
      <w:bookmarkEnd w:id="493"/>
    </w:p>
    <w:p w14:paraId="66BF329A">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14:paraId="775A2DE1">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要求澄清、说明或补正的。</w:t>
      </w:r>
    </w:p>
    <w:p w14:paraId="391D5782">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3）响应文件制作机器码与其他供应商一致的。</w:t>
      </w:r>
    </w:p>
    <w:p w14:paraId="7E300D07">
      <w:pPr>
        <w:spacing w:line="360" w:lineRule="auto"/>
        <w:ind w:firstLine="523" w:firstLineChars="218"/>
        <w:rPr>
          <w:rFonts w:hint="eastAsia" w:ascii="仿宋" w:hAnsi="仿宋" w:eastAsia="仿宋" w:cs="仿宋"/>
          <w:color w:val="auto"/>
          <w:sz w:val="24"/>
          <w:szCs w:val="24"/>
          <w:highlight w:val="none"/>
        </w:rPr>
      </w:pPr>
      <w:bookmarkStart w:id="494" w:name="_Toc21679"/>
      <w:bookmarkStart w:id="495" w:name="_Toc24006"/>
      <w:bookmarkStart w:id="496" w:name="_Toc1851"/>
      <w:bookmarkStart w:id="497" w:name="_Toc256519742"/>
      <w:r>
        <w:rPr>
          <w:rFonts w:hint="eastAsia" w:ascii="仿宋" w:hAnsi="仿宋" w:eastAsia="仿宋" w:cs="仿宋"/>
          <w:color w:val="auto"/>
          <w:sz w:val="24"/>
          <w:szCs w:val="24"/>
          <w:highlight w:val="none"/>
        </w:rPr>
        <w:t>3.1.3投标报价有算术错误的，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按以下原则对投标报价进行修正，修正的价格经供应商书面确认后具有约束力。供应商不接受修正价格的，其投标将被否决。</w:t>
      </w:r>
      <w:bookmarkEnd w:id="494"/>
      <w:bookmarkEnd w:id="495"/>
      <w:bookmarkEnd w:id="496"/>
      <w:bookmarkEnd w:id="497"/>
    </w:p>
    <w:p w14:paraId="07E812A0">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中的大写金额与小写金额不一致的，以大写金额为准；</w:t>
      </w:r>
    </w:p>
    <w:p w14:paraId="4C7B5406">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（2）总价金额与依据单价计算出的结果不一致的，以单价金额为准修正总价，但单价金额小数点有明显错误的除外。</w:t>
      </w:r>
    </w:p>
    <w:p w14:paraId="2242EF28">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lang w:val="en-US" w:eastAsia="zh-CN"/>
        </w:rPr>
      </w:pPr>
      <w:bookmarkStart w:id="498" w:name="_Toc256519743"/>
      <w:bookmarkStart w:id="499" w:name="_Toc20863"/>
      <w:bookmarkStart w:id="500" w:name="_Toc346731847"/>
      <w:bookmarkStart w:id="501" w:name="_Toc21175"/>
      <w:bookmarkStart w:id="502" w:name="_Toc9893"/>
      <w:bookmarkStart w:id="503" w:name="_Toc254788520"/>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磋商报价</w:t>
      </w:r>
    </w:p>
    <w:p w14:paraId="0B3AD306">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i w:val="0"/>
          <w:iCs w:val="0"/>
          <w:color w:val="0000FF"/>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3.2.1磋商小组要求所有实质性响应的供应商在规定时间内提交二次磋商报价（最终报价），最终报价是供应商磋商响应文件的有效组成部分。</w:t>
      </w:r>
      <w:r>
        <w:rPr>
          <w:rFonts w:hint="eastAsia" w:ascii="仿宋" w:hAnsi="仿宋" w:eastAsia="仿宋" w:cs="仿宋"/>
          <w:b/>
          <w:bCs/>
          <w:i w:val="0"/>
          <w:iCs w:val="0"/>
          <w:color w:val="auto"/>
          <w:kern w:val="2"/>
          <w:sz w:val="24"/>
          <w:szCs w:val="24"/>
          <w:highlight w:val="none"/>
          <w:lang w:val="en-US" w:eastAsia="zh-CN" w:bidi="ar-SA"/>
        </w:rPr>
        <w:t>供应商只有通过初步评审后方可进入下一轮报价，竞争性磋商最终报价也将予以远程报价。供应商登录远程开标项目，在收到远程报价通知时，即可远程在线报价，供应商在规定时间内最终报价因逾期或超时，将默认初次报价为最终报价参与评审。</w:t>
      </w:r>
    </w:p>
    <w:p w14:paraId="705B3A26">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3.2.2开标会议结束之后，请各供应商保持在线状态，等候线上二次报价通知。</w:t>
      </w:r>
    </w:p>
    <w:p w14:paraId="07E3656B">
      <w:pPr>
        <w:pStyle w:val="43"/>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3.2.3最终报价明显低于其他通过符合性审查投标人的报价，有可能影响工程质量或者不能诚信履约的，投标人需做出合理说明，否则将承担不被接受的风险。 </w:t>
      </w:r>
    </w:p>
    <w:p w14:paraId="5980C58C">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详细评审</w:t>
      </w:r>
      <w:bookmarkEnd w:id="498"/>
      <w:bookmarkEnd w:id="499"/>
      <w:bookmarkEnd w:id="500"/>
      <w:bookmarkEnd w:id="501"/>
      <w:bookmarkEnd w:id="502"/>
      <w:bookmarkEnd w:id="503"/>
    </w:p>
    <w:p w14:paraId="61D71420">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bookmarkStart w:id="504" w:name="_Toc30200"/>
      <w:bookmarkStart w:id="505" w:name="_Toc256519744"/>
      <w:bookmarkStart w:id="506" w:name="_Toc24013"/>
      <w:bookmarkStart w:id="507" w:name="_Toc1454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按本章第2.2款规定的量化因素和分值进行打分，并计算出综合评估得分。</w:t>
      </w:r>
      <w:bookmarkEnd w:id="504"/>
      <w:bookmarkEnd w:id="505"/>
      <w:bookmarkEnd w:id="506"/>
      <w:bookmarkEnd w:id="507"/>
    </w:p>
    <w:p w14:paraId="36A7D785">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（1）投标报价计算出得分A；</w:t>
      </w:r>
    </w:p>
    <w:p w14:paraId="32671707">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（2）技术部分计算出得分B；</w:t>
      </w:r>
    </w:p>
    <w:p w14:paraId="04C96C6C">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（3）按本章规定的评审因素和分值对2.2.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部分计算出得分C；</w:t>
      </w:r>
    </w:p>
    <w:p w14:paraId="1CDBF0E8">
      <w:pPr>
        <w:spacing w:line="360" w:lineRule="auto"/>
        <w:ind w:firstLine="523" w:firstLineChars="218"/>
        <w:rPr>
          <w:rFonts w:hint="eastAsia" w:ascii="仿宋" w:hAnsi="仿宋" w:eastAsia="仿宋" w:cs="仿宋"/>
          <w:color w:val="auto"/>
          <w:sz w:val="24"/>
          <w:szCs w:val="24"/>
          <w:highlight w:val="none"/>
        </w:rPr>
      </w:pPr>
      <w:bookmarkStart w:id="508" w:name="_Toc31995"/>
      <w:bookmarkStart w:id="509" w:name="_Toc9474"/>
      <w:bookmarkStart w:id="510" w:name="_Toc256519745"/>
      <w:bookmarkStart w:id="511" w:name="_Toc25841"/>
      <w:r>
        <w:rPr>
          <w:rFonts w:hint="eastAsia" w:ascii="仿宋" w:hAnsi="仿宋" w:eastAsia="仿宋" w:cs="仿宋"/>
          <w:color w:val="auto"/>
          <w:sz w:val="24"/>
          <w:szCs w:val="24"/>
          <w:highlight w:val="none"/>
        </w:rPr>
        <w:t>评分分值计算保留小数点后两位，小数点后第三位“四舍五入”。</w:t>
      </w:r>
      <w:bookmarkEnd w:id="508"/>
      <w:bookmarkEnd w:id="509"/>
      <w:bookmarkEnd w:id="510"/>
      <w:bookmarkEnd w:id="511"/>
    </w:p>
    <w:p w14:paraId="474999CB">
      <w:pPr>
        <w:spacing w:line="360" w:lineRule="auto"/>
        <w:ind w:firstLine="523" w:firstLineChars="218"/>
        <w:rPr>
          <w:rFonts w:hint="eastAsia" w:ascii="仿宋" w:hAnsi="仿宋" w:eastAsia="仿宋" w:cs="仿宋"/>
          <w:color w:val="auto"/>
          <w:sz w:val="24"/>
          <w:szCs w:val="24"/>
          <w:highlight w:val="none"/>
        </w:rPr>
      </w:pPr>
      <w:bookmarkStart w:id="512" w:name="_Toc4168"/>
      <w:bookmarkStart w:id="513" w:name="_Toc256519746"/>
      <w:bookmarkStart w:id="514" w:name="_Toc1912"/>
      <w:bookmarkStart w:id="515" w:name="_Toc909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.3供应商得分＝A+B+C。供应商的最终得分为各评委所评定分数的算术平均值。</w:t>
      </w:r>
      <w:bookmarkEnd w:id="512"/>
      <w:bookmarkEnd w:id="513"/>
      <w:bookmarkEnd w:id="514"/>
      <w:bookmarkEnd w:id="515"/>
    </w:p>
    <w:p w14:paraId="54693347">
      <w:pPr>
        <w:spacing w:line="360" w:lineRule="auto"/>
        <w:ind w:firstLine="523" w:firstLineChars="218"/>
        <w:rPr>
          <w:rFonts w:hint="eastAsia" w:ascii="仿宋" w:hAnsi="仿宋" w:eastAsia="仿宋" w:cs="仿宋"/>
          <w:color w:val="auto"/>
          <w:sz w:val="24"/>
          <w:szCs w:val="24"/>
          <w:highlight w:val="none"/>
        </w:rPr>
      </w:pPr>
      <w:bookmarkStart w:id="516" w:name="_Toc32130"/>
      <w:bookmarkStart w:id="517" w:name="_Toc4934"/>
      <w:bookmarkStart w:id="518" w:name="_Toc256519747"/>
      <w:bookmarkStart w:id="519" w:name="_Toc15660"/>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认定该供应商以低于成本报价竞标，其投标将被否决。</w:t>
      </w:r>
      <w:bookmarkEnd w:id="516"/>
      <w:bookmarkEnd w:id="517"/>
      <w:bookmarkEnd w:id="518"/>
      <w:bookmarkEnd w:id="519"/>
    </w:p>
    <w:p w14:paraId="1308EF38">
      <w:pPr>
        <w:spacing w:line="360" w:lineRule="auto"/>
        <w:ind w:firstLine="523" w:firstLineChars="218"/>
        <w:rPr>
          <w:rFonts w:hint="eastAsia" w:ascii="仿宋" w:hAnsi="仿宋" w:eastAsia="仿宋" w:cs="仿宋"/>
          <w:color w:val="auto"/>
          <w:sz w:val="24"/>
          <w:szCs w:val="24"/>
          <w:highlight w:val="none"/>
        </w:rPr>
      </w:pPr>
      <w:bookmarkStart w:id="520" w:name="_Toc256519748"/>
      <w:bookmarkStart w:id="521" w:name="_Toc19414"/>
      <w:bookmarkStart w:id="522" w:name="_Toc254788521"/>
      <w:bookmarkStart w:id="523" w:name="_Toc346731848"/>
      <w:bookmarkStart w:id="524" w:name="_Toc2762"/>
      <w:bookmarkStart w:id="525" w:name="_Toc8885"/>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的澄清和补正</w:t>
      </w:r>
      <w:bookmarkEnd w:id="520"/>
      <w:bookmarkEnd w:id="521"/>
      <w:bookmarkEnd w:id="522"/>
      <w:bookmarkEnd w:id="523"/>
      <w:bookmarkEnd w:id="524"/>
      <w:bookmarkEnd w:id="525"/>
    </w:p>
    <w:p w14:paraId="4EC643A7">
      <w:pPr>
        <w:spacing w:line="360" w:lineRule="auto"/>
        <w:ind w:firstLine="523" w:firstLineChars="218"/>
        <w:rPr>
          <w:rFonts w:hint="eastAsia" w:ascii="仿宋" w:hAnsi="仿宋" w:eastAsia="仿宋" w:cs="仿宋"/>
          <w:color w:val="auto"/>
          <w:sz w:val="24"/>
          <w:szCs w:val="24"/>
          <w:highlight w:val="none"/>
        </w:rPr>
      </w:pPr>
      <w:bookmarkStart w:id="526" w:name="_Toc15681"/>
      <w:bookmarkStart w:id="527" w:name="_Toc687"/>
      <w:bookmarkStart w:id="528" w:name="_Toc30071"/>
      <w:bookmarkStart w:id="529" w:name="_Toc25651974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.1在评标过程中，</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可以书面形式要求供应商对所提交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中不明确的内容进行书面澄清或说明，或者对细微偏差进行补正。</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不接受供应商主动提出的澄清、说明或补正。</w:t>
      </w:r>
      <w:bookmarkEnd w:id="526"/>
      <w:bookmarkEnd w:id="527"/>
      <w:bookmarkEnd w:id="528"/>
      <w:bookmarkEnd w:id="529"/>
    </w:p>
    <w:p w14:paraId="7846D612">
      <w:pPr>
        <w:spacing w:line="360" w:lineRule="auto"/>
        <w:ind w:firstLine="523" w:firstLineChars="218"/>
        <w:rPr>
          <w:rFonts w:hint="eastAsia" w:ascii="仿宋" w:hAnsi="仿宋" w:eastAsia="仿宋" w:cs="仿宋"/>
          <w:color w:val="auto"/>
          <w:sz w:val="24"/>
          <w:szCs w:val="24"/>
          <w:highlight w:val="none"/>
        </w:rPr>
      </w:pPr>
      <w:bookmarkStart w:id="530" w:name="_Toc256519750"/>
      <w:bookmarkStart w:id="531" w:name="_Toc29439"/>
      <w:bookmarkStart w:id="532" w:name="_Toc29040"/>
      <w:bookmarkStart w:id="533" w:name="_Toc21316"/>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的实质性内容（算术性错误修正的除外）。供应商的书面澄清、说明和补正属于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bookmarkEnd w:id="530"/>
      <w:bookmarkEnd w:id="531"/>
      <w:bookmarkEnd w:id="532"/>
      <w:bookmarkEnd w:id="533"/>
    </w:p>
    <w:p w14:paraId="1AA956EC">
      <w:pPr>
        <w:spacing w:line="360" w:lineRule="auto"/>
        <w:ind w:firstLine="523" w:firstLineChars="218"/>
        <w:rPr>
          <w:rFonts w:hint="eastAsia" w:ascii="仿宋" w:hAnsi="仿宋" w:eastAsia="仿宋" w:cs="仿宋"/>
          <w:color w:val="auto"/>
          <w:sz w:val="24"/>
          <w:szCs w:val="24"/>
          <w:highlight w:val="none"/>
        </w:rPr>
      </w:pPr>
      <w:bookmarkStart w:id="534" w:name="_Toc24506"/>
      <w:bookmarkStart w:id="535" w:name="_Toc30669"/>
      <w:bookmarkStart w:id="536" w:name="_Toc256519751"/>
      <w:bookmarkStart w:id="537" w:name="_Toc1832"/>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对供应商提交的澄清、说明或补正有疑问的，可以要求供应商进一步澄清、说明或补正，直至满足</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的要求。</w:t>
      </w:r>
      <w:bookmarkEnd w:id="534"/>
      <w:bookmarkEnd w:id="535"/>
      <w:bookmarkEnd w:id="536"/>
      <w:bookmarkEnd w:id="537"/>
    </w:p>
    <w:p w14:paraId="15CD8245">
      <w:pPr>
        <w:spacing w:line="360" w:lineRule="auto"/>
        <w:ind w:firstLine="523" w:firstLineChars="218"/>
        <w:rPr>
          <w:rFonts w:hint="eastAsia" w:ascii="仿宋" w:hAnsi="仿宋" w:eastAsia="仿宋" w:cs="仿宋"/>
          <w:color w:val="auto"/>
          <w:sz w:val="24"/>
          <w:szCs w:val="24"/>
          <w:highlight w:val="none"/>
        </w:rPr>
      </w:pPr>
      <w:bookmarkStart w:id="538" w:name="_Toc12487"/>
      <w:bookmarkStart w:id="539" w:name="_Toc21596"/>
      <w:bookmarkStart w:id="540" w:name="_Toc256519752"/>
      <w:bookmarkStart w:id="541" w:name="_Toc346731849"/>
      <w:bookmarkStart w:id="542" w:name="_Toc2765"/>
      <w:bookmarkStart w:id="543" w:name="_Toc254788522"/>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评标结果</w:t>
      </w:r>
      <w:bookmarkEnd w:id="538"/>
      <w:bookmarkEnd w:id="539"/>
      <w:bookmarkEnd w:id="540"/>
      <w:bookmarkEnd w:id="541"/>
      <w:bookmarkEnd w:id="542"/>
      <w:bookmarkEnd w:id="543"/>
    </w:p>
    <w:p w14:paraId="7D122C50">
      <w:pPr>
        <w:spacing w:line="360" w:lineRule="auto"/>
        <w:ind w:firstLine="523" w:firstLineChars="218"/>
        <w:rPr>
          <w:rFonts w:hint="eastAsia" w:ascii="仿宋" w:hAnsi="仿宋" w:eastAsia="仿宋" w:cs="仿宋"/>
          <w:color w:val="auto"/>
          <w:sz w:val="24"/>
          <w:szCs w:val="24"/>
          <w:highlight w:val="none"/>
        </w:rPr>
      </w:pPr>
      <w:bookmarkStart w:id="544" w:name="_Toc9316"/>
      <w:bookmarkStart w:id="545" w:name="_Toc5594"/>
      <w:bookmarkStart w:id="546" w:name="_Toc3304"/>
      <w:bookmarkStart w:id="547" w:name="_Toc256519754"/>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.1除第二章“供应商须知”前附表授权直接确定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按照得分由高到低的顺序推荐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544"/>
      <w:bookmarkEnd w:id="545"/>
      <w:bookmarkEnd w:id="546"/>
    </w:p>
    <w:bookmarkEnd w:id="547"/>
    <w:p w14:paraId="5421C7E7">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.2评审结束后，磋商小组要向采购人提交书面评审报告。</w:t>
      </w:r>
    </w:p>
    <w:bookmarkEnd w:id="430"/>
    <w:bookmarkEnd w:id="431"/>
    <w:p w14:paraId="377C04B7">
      <w:pPr>
        <w:pStyle w:val="3"/>
        <w:spacing w:before="120" w:after="120" w:line="400" w:lineRule="exact"/>
        <w:jc w:val="center"/>
        <w:rPr>
          <w:rFonts w:hint="eastAsia" w:ascii="仿宋" w:hAnsi="仿宋" w:eastAsia="仿宋" w:cs="仿宋"/>
          <w:color w:val="auto"/>
          <w:sz w:val="24"/>
          <w:szCs w:val="24"/>
          <w:highlight w:val="none"/>
        </w:rPr>
        <w:sectPr>
          <w:headerReference r:id="rId13" w:type="first"/>
          <w:footerReference r:id="rId15" w:type="first"/>
          <w:footerReference r:id="rId14" w:type="default"/>
          <w:pgSz w:w="11906" w:h="16838"/>
          <w:pgMar w:top="1418" w:right="1555" w:bottom="1418" w:left="1531" w:header="851" w:footer="992" w:gutter="0"/>
          <w:pgNumType w:fmt="decimal"/>
          <w:cols w:space="720" w:num="1"/>
          <w:titlePg/>
          <w:docGrid w:type="lines" w:linePitch="312" w:charSpace="0"/>
        </w:sectPr>
      </w:pPr>
      <w:bookmarkStart w:id="548" w:name="_Toc12096"/>
    </w:p>
    <w:p w14:paraId="124B9A8F">
      <w:pPr>
        <w:pStyle w:val="3"/>
        <w:spacing w:before="120" w:after="120" w:line="400" w:lineRule="exact"/>
        <w:jc w:val="center"/>
        <w:rPr>
          <w:rFonts w:hint="eastAsia" w:ascii="仿宋" w:hAnsi="仿宋" w:eastAsia="仿宋" w:cs="仿宋"/>
          <w:color w:val="auto"/>
          <w:sz w:val="32"/>
          <w:highlight w:val="none"/>
        </w:rPr>
      </w:pPr>
      <w:bookmarkStart w:id="549" w:name="_Toc4902"/>
      <w:r>
        <w:rPr>
          <w:rFonts w:hint="eastAsia" w:ascii="仿宋" w:hAnsi="仿宋" w:eastAsia="仿宋" w:cs="仿宋"/>
          <w:color w:val="auto"/>
          <w:sz w:val="32"/>
          <w:highlight w:val="none"/>
        </w:rPr>
        <w:t>第四章 合同条款及格式</w:t>
      </w:r>
      <w:bookmarkEnd w:id="549"/>
    </w:p>
    <w:bookmarkEnd w:id="548"/>
    <w:p w14:paraId="61FB2027">
      <w:pPr>
        <w:spacing w:line="360" w:lineRule="auto"/>
        <w:jc w:val="center"/>
        <w:rPr>
          <w:rFonts w:hint="eastAsia" w:ascii="新宋体" w:hAnsi="新宋体" w:eastAsia="新宋体" w:cs="新宋体"/>
          <w:b/>
          <w:sz w:val="44"/>
          <w:szCs w:val="44"/>
          <w:lang w:eastAsia="zh-CN"/>
        </w:rPr>
      </w:pPr>
    </w:p>
    <w:p w14:paraId="22C96D74">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eastAsia="zh-CN"/>
        </w:rPr>
        <w:t>（</w:t>
      </w:r>
      <w:r>
        <w:rPr>
          <w:rFonts w:hint="eastAsia" w:ascii="仿宋" w:hAnsi="仿宋" w:eastAsia="仿宋" w:cs="仿宋"/>
          <w:b/>
          <w:sz w:val="44"/>
          <w:szCs w:val="44"/>
          <w:lang w:val="en-US" w:eastAsia="zh-CN"/>
        </w:rPr>
        <w:t>项目名称）</w:t>
      </w:r>
    </w:p>
    <w:p w14:paraId="2B4943D6">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2D8A5017">
      <w:pPr>
        <w:spacing w:line="360" w:lineRule="auto"/>
        <w:jc w:val="center"/>
        <w:rPr>
          <w:rFonts w:hint="eastAsia" w:ascii="仿宋" w:hAnsi="仿宋" w:eastAsia="仿宋" w:cs="仿宋"/>
          <w:b/>
          <w:sz w:val="44"/>
          <w:szCs w:val="44"/>
        </w:rPr>
      </w:pPr>
    </w:p>
    <w:p w14:paraId="5C54F0B6">
      <w:pPr>
        <w:spacing w:line="360" w:lineRule="auto"/>
        <w:jc w:val="center"/>
        <w:rPr>
          <w:rFonts w:hint="eastAsia" w:ascii="仿宋" w:hAnsi="仿宋" w:eastAsia="仿宋" w:cs="仿宋"/>
          <w:b/>
          <w:sz w:val="44"/>
          <w:szCs w:val="44"/>
        </w:rPr>
      </w:pPr>
    </w:p>
    <w:p w14:paraId="40A8399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施</w:t>
      </w:r>
    </w:p>
    <w:p w14:paraId="6DD4D5B6">
      <w:pPr>
        <w:spacing w:line="360" w:lineRule="auto"/>
        <w:jc w:val="center"/>
        <w:rPr>
          <w:rFonts w:hint="eastAsia" w:ascii="仿宋" w:hAnsi="仿宋" w:eastAsia="仿宋" w:cs="仿宋"/>
          <w:b/>
          <w:sz w:val="44"/>
          <w:szCs w:val="44"/>
        </w:rPr>
      </w:pPr>
    </w:p>
    <w:p w14:paraId="22AA64AA">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工</w:t>
      </w:r>
    </w:p>
    <w:p w14:paraId="4F8D790A">
      <w:pPr>
        <w:spacing w:line="360" w:lineRule="auto"/>
        <w:jc w:val="center"/>
        <w:rPr>
          <w:rFonts w:hint="eastAsia" w:ascii="仿宋" w:hAnsi="仿宋" w:eastAsia="仿宋" w:cs="仿宋"/>
          <w:b/>
          <w:sz w:val="44"/>
          <w:szCs w:val="44"/>
        </w:rPr>
      </w:pPr>
    </w:p>
    <w:p w14:paraId="750993D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合</w:t>
      </w:r>
    </w:p>
    <w:p w14:paraId="3D235B48">
      <w:pPr>
        <w:spacing w:line="360" w:lineRule="auto"/>
        <w:jc w:val="center"/>
        <w:rPr>
          <w:rFonts w:hint="eastAsia" w:ascii="仿宋" w:hAnsi="仿宋" w:eastAsia="仿宋" w:cs="仿宋"/>
          <w:b/>
          <w:sz w:val="44"/>
          <w:szCs w:val="44"/>
        </w:rPr>
      </w:pPr>
    </w:p>
    <w:p w14:paraId="1DE38973">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同</w:t>
      </w:r>
    </w:p>
    <w:p w14:paraId="27D0F68D">
      <w:pPr>
        <w:spacing w:line="360" w:lineRule="auto"/>
        <w:jc w:val="center"/>
        <w:rPr>
          <w:rFonts w:hint="eastAsia" w:ascii="仿宋" w:hAnsi="仿宋" w:eastAsia="仿宋" w:cs="仿宋"/>
          <w:b/>
          <w:sz w:val="44"/>
          <w:szCs w:val="44"/>
        </w:rPr>
      </w:pPr>
    </w:p>
    <w:p w14:paraId="28DA779C">
      <w:pPr>
        <w:spacing w:line="360" w:lineRule="auto"/>
        <w:rPr>
          <w:rFonts w:hint="eastAsia" w:ascii="仿宋" w:hAnsi="仿宋" w:eastAsia="仿宋" w:cs="仿宋"/>
          <w:b/>
          <w:sz w:val="44"/>
          <w:szCs w:val="44"/>
        </w:rPr>
      </w:pPr>
    </w:p>
    <w:p w14:paraId="45C71272">
      <w:pPr>
        <w:pStyle w:val="2"/>
        <w:ind w:firstLine="482"/>
        <w:rPr>
          <w:rFonts w:hint="eastAsia" w:ascii="仿宋" w:hAnsi="仿宋" w:eastAsia="仿宋" w:cs="仿宋"/>
          <w:b/>
        </w:rPr>
      </w:pPr>
    </w:p>
    <w:p w14:paraId="46A69F76">
      <w:pPr>
        <w:spacing w:line="360" w:lineRule="auto"/>
        <w:jc w:val="center"/>
        <w:rPr>
          <w:rFonts w:hint="eastAsia" w:ascii="仿宋" w:hAnsi="仿宋" w:eastAsia="仿宋" w:cs="仿宋"/>
          <w:b/>
          <w:sz w:val="44"/>
          <w:szCs w:val="44"/>
        </w:rPr>
      </w:pPr>
    </w:p>
    <w:p w14:paraId="3AA583DD">
      <w:pPr>
        <w:pStyle w:val="9"/>
        <w:jc w:val="center"/>
        <w:rPr>
          <w:rFonts w:hint="default" w:ascii="仿宋" w:hAnsi="仿宋" w:eastAsia="仿宋" w:cs="仿宋"/>
          <w:b/>
          <w:bCs/>
          <w:snapToGrid w:val="0"/>
          <w:kern w:val="0"/>
          <w:sz w:val="32"/>
          <w:szCs w:val="32"/>
          <w:highlight w:val="none"/>
          <w:u w:val="single"/>
          <w:lang w:val="en-US" w:eastAsia="zh-CN" w:bidi="ar-SA"/>
        </w:rPr>
      </w:pPr>
      <w:r>
        <w:rPr>
          <w:rFonts w:hint="eastAsia" w:ascii="仿宋" w:hAnsi="仿宋" w:eastAsia="仿宋" w:cs="仿宋"/>
          <w:b/>
          <w:bCs/>
          <w:snapToGrid w:val="0"/>
          <w:kern w:val="0"/>
          <w:sz w:val="32"/>
          <w:szCs w:val="32"/>
          <w:highlight w:val="none"/>
          <w:lang w:val="en-US" w:eastAsia="zh-CN" w:bidi="ar-SA"/>
        </w:rPr>
        <w:t>发包人（全称）：</w:t>
      </w:r>
      <w:r>
        <w:rPr>
          <w:rFonts w:hint="eastAsia" w:ascii="仿宋" w:hAnsi="仿宋" w:eastAsia="仿宋" w:cs="仿宋"/>
          <w:b/>
          <w:bCs/>
          <w:snapToGrid w:val="0"/>
          <w:kern w:val="0"/>
          <w:sz w:val="32"/>
          <w:szCs w:val="32"/>
          <w:highlight w:val="none"/>
          <w:u w:val="single"/>
          <w:lang w:val="en-US" w:eastAsia="zh-CN" w:bidi="ar-SA"/>
        </w:rPr>
        <w:t xml:space="preserve"> 荥阳市交通运输局 </w:t>
      </w:r>
    </w:p>
    <w:p w14:paraId="57A5F5DF">
      <w:pPr>
        <w:ind w:firstLine="2249" w:firstLineChars="700"/>
        <w:jc w:val="both"/>
        <w:rPr>
          <w:rFonts w:hint="default" w:ascii="仿宋" w:hAnsi="仿宋" w:eastAsia="仿宋" w:cs="仿宋"/>
          <w:b/>
          <w:bCs/>
          <w:snapToGrid w:val="0"/>
          <w:kern w:val="0"/>
          <w:sz w:val="32"/>
          <w:szCs w:val="32"/>
          <w:highlight w:val="none"/>
          <w:u w:val="single"/>
          <w:lang w:val="en-US" w:eastAsia="zh-CN"/>
        </w:rPr>
      </w:pPr>
      <w:r>
        <w:rPr>
          <w:rFonts w:hint="eastAsia" w:ascii="仿宋" w:hAnsi="仿宋" w:eastAsia="仿宋" w:cs="仿宋"/>
          <w:b/>
          <w:bCs/>
          <w:snapToGrid w:val="0"/>
          <w:kern w:val="0"/>
          <w:sz w:val="32"/>
          <w:szCs w:val="32"/>
          <w:highlight w:val="none"/>
        </w:rPr>
        <w:t>承包人（全称）：</w:t>
      </w:r>
      <w:r>
        <w:rPr>
          <w:rFonts w:hint="eastAsia" w:ascii="仿宋" w:hAnsi="仿宋" w:eastAsia="仿宋" w:cs="仿宋"/>
          <w:b/>
          <w:bCs/>
          <w:snapToGrid w:val="0"/>
          <w:kern w:val="0"/>
          <w:sz w:val="32"/>
          <w:szCs w:val="32"/>
          <w:highlight w:val="none"/>
          <w:u w:val="single"/>
          <w:lang w:val="en-US" w:eastAsia="zh-CN"/>
        </w:rPr>
        <w:t xml:space="preserve">                  </w:t>
      </w:r>
    </w:p>
    <w:p w14:paraId="4E447550">
      <w:pPr>
        <w:spacing w:line="360" w:lineRule="auto"/>
        <w:jc w:val="center"/>
        <w:rPr>
          <w:rFonts w:hint="eastAsia" w:ascii="仿宋" w:hAnsi="仿宋" w:eastAsia="仿宋" w:cs="仿宋"/>
          <w:b/>
          <w:sz w:val="44"/>
          <w:szCs w:val="44"/>
        </w:rPr>
      </w:pP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年</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月</w:t>
      </w:r>
    </w:p>
    <w:p w14:paraId="6E775B45">
      <w:pPr>
        <w:spacing w:line="360" w:lineRule="auto"/>
        <w:jc w:val="center"/>
        <w:rPr>
          <w:rFonts w:hint="eastAsia" w:ascii="仿宋" w:hAnsi="仿宋" w:eastAsia="仿宋" w:cs="仿宋"/>
          <w:b/>
          <w:bCs/>
          <w:sz w:val="32"/>
          <w:szCs w:val="32"/>
        </w:rPr>
      </w:pPr>
    </w:p>
    <w:p w14:paraId="74291AB2">
      <w:pPr>
        <w:tabs>
          <w:tab w:val="left" w:pos="1313"/>
        </w:tabs>
        <w:spacing w:line="360" w:lineRule="auto"/>
        <w:jc w:val="left"/>
        <w:rPr>
          <w:rFonts w:hint="eastAsia" w:ascii="仿宋" w:hAnsi="仿宋" w:eastAsia="仿宋" w:cs="仿宋"/>
          <w:sz w:val="32"/>
          <w:szCs w:val="32"/>
        </w:rPr>
      </w:pPr>
    </w:p>
    <w:p w14:paraId="11F74CF2">
      <w:pPr>
        <w:pStyle w:val="2"/>
        <w:ind w:firstLine="640"/>
        <w:rPr>
          <w:rFonts w:hint="eastAsia" w:ascii="仿宋" w:hAnsi="仿宋" w:eastAsia="仿宋" w:cs="仿宋"/>
          <w:sz w:val="32"/>
          <w:szCs w:val="32"/>
        </w:rPr>
      </w:pPr>
    </w:p>
    <w:p w14:paraId="46E29F4A">
      <w:pPr>
        <w:jc w:val="center"/>
        <w:rPr>
          <w:b/>
          <w:bCs/>
          <w:sz w:val="32"/>
          <w:szCs w:val="32"/>
        </w:rPr>
      </w:pPr>
      <w:r>
        <w:rPr>
          <w:rFonts w:ascii="宋体" w:hAnsi="宋体"/>
          <w:b/>
          <w:bCs/>
          <w:sz w:val="32"/>
          <w:szCs w:val="32"/>
        </w:rPr>
        <w:t>目</w:t>
      </w:r>
      <w:r>
        <w:rPr>
          <w:rFonts w:hint="eastAsia" w:ascii="宋体" w:hAnsi="宋体"/>
          <w:b/>
          <w:bCs/>
          <w:sz w:val="32"/>
          <w:szCs w:val="32"/>
          <w:lang w:val="en-US" w:eastAsia="zh-CN"/>
        </w:rPr>
        <w:t xml:space="preserve">   </w:t>
      </w:r>
      <w:r>
        <w:rPr>
          <w:rFonts w:ascii="宋体" w:hAnsi="宋体"/>
          <w:b/>
          <w:bCs/>
          <w:sz w:val="32"/>
          <w:szCs w:val="32"/>
        </w:rPr>
        <w:t>录</w:t>
      </w:r>
    </w:p>
    <w:p w14:paraId="52945A37">
      <w:pPr>
        <w:pStyle w:val="18"/>
        <w:tabs>
          <w:tab w:val="right" w:leader="dot" w:pos="9746"/>
        </w:tabs>
        <w:rPr>
          <w:rFonts w:hint="eastAsia" w:ascii="宋体" w:hAnsi="宋体" w:cs="宋体"/>
          <w:sz w:val="32"/>
          <w:szCs w:val="32"/>
        </w:rPr>
      </w:pPr>
    </w:p>
    <w:p w14:paraId="061AEB13">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_Toc2790 </w:instrText>
      </w:r>
      <w:r>
        <w:rPr>
          <w:rFonts w:hint="eastAsia" w:ascii="仿宋" w:hAnsi="仿宋" w:eastAsia="仿宋" w:cs="仿宋"/>
          <w:sz w:val="24"/>
          <w:szCs w:val="24"/>
        </w:rPr>
        <w:fldChar w:fldCharType="separate"/>
      </w:r>
      <w:r>
        <w:rPr>
          <w:rFonts w:hint="eastAsia" w:ascii="仿宋" w:hAnsi="仿宋" w:eastAsia="仿宋" w:cs="仿宋"/>
          <w:sz w:val="24"/>
          <w:szCs w:val="24"/>
        </w:rPr>
        <w:t>合 同 协 议 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_Toc2790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3146381">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_Toc22811 </w:instrText>
      </w:r>
      <w:r>
        <w:rPr>
          <w:rFonts w:hint="eastAsia" w:ascii="仿宋" w:hAnsi="仿宋" w:eastAsia="仿宋" w:cs="仿宋"/>
          <w:sz w:val="24"/>
          <w:szCs w:val="24"/>
        </w:rPr>
        <w:fldChar w:fldCharType="separate"/>
      </w:r>
      <w:r>
        <w:rPr>
          <w:rFonts w:hint="eastAsia" w:ascii="仿宋" w:hAnsi="仿宋" w:eastAsia="仿宋" w:cs="仿宋"/>
          <w:sz w:val="24"/>
          <w:szCs w:val="24"/>
        </w:rPr>
        <w:t>施工合同洽谈备忘录</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14:paraId="4F338F9E">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_Toc25360 </w:instrText>
      </w:r>
      <w:r>
        <w:rPr>
          <w:rFonts w:hint="eastAsia" w:ascii="仿宋" w:hAnsi="仿宋" w:eastAsia="仿宋" w:cs="仿宋"/>
          <w:sz w:val="24"/>
          <w:szCs w:val="24"/>
        </w:rPr>
        <w:fldChar w:fldCharType="separate"/>
      </w:r>
      <w:r>
        <w:rPr>
          <w:rFonts w:hint="eastAsia" w:ascii="仿宋" w:hAnsi="仿宋" w:eastAsia="仿宋" w:cs="仿宋"/>
          <w:sz w:val="24"/>
          <w:szCs w:val="24"/>
        </w:rPr>
        <w:t>廉政合同</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9</w:t>
      </w:r>
    </w:p>
    <w:p w14:paraId="146FA3A3">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_Toc24229 </w:instrText>
      </w:r>
      <w:r>
        <w:rPr>
          <w:rFonts w:hint="eastAsia" w:ascii="仿宋" w:hAnsi="仿宋" w:eastAsia="仿宋" w:cs="仿宋"/>
          <w:sz w:val="24"/>
          <w:szCs w:val="24"/>
        </w:rPr>
        <w:fldChar w:fldCharType="separate"/>
      </w:r>
      <w:r>
        <w:rPr>
          <w:rFonts w:hint="eastAsia" w:ascii="仿宋" w:hAnsi="仿宋" w:eastAsia="仿宋" w:cs="仿宋"/>
          <w:sz w:val="24"/>
          <w:szCs w:val="24"/>
        </w:rPr>
        <w:t>安全生产合同</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13</w:t>
      </w:r>
    </w:p>
    <w:p w14:paraId="74507538">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_Toc31225 </w:instrText>
      </w:r>
      <w:r>
        <w:rPr>
          <w:rFonts w:hint="eastAsia" w:ascii="仿宋" w:hAnsi="仿宋" w:eastAsia="仿宋" w:cs="仿宋"/>
          <w:sz w:val="24"/>
          <w:szCs w:val="24"/>
        </w:rPr>
        <w:fldChar w:fldCharType="separate"/>
      </w:r>
      <w:r>
        <w:rPr>
          <w:rFonts w:hint="eastAsia" w:ascii="仿宋" w:hAnsi="仿宋" w:eastAsia="仿宋" w:cs="仿宋"/>
          <w:sz w:val="24"/>
          <w:szCs w:val="24"/>
        </w:rPr>
        <w:t>施工环保协议书</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17</w:t>
      </w:r>
    </w:p>
    <w:p w14:paraId="0B4F95AE">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_Toc11890 </w:instrText>
      </w:r>
      <w:r>
        <w:rPr>
          <w:rFonts w:hint="eastAsia" w:ascii="仿宋" w:hAnsi="仿宋" w:eastAsia="仿宋" w:cs="仿宋"/>
          <w:sz w:val="24"/>
          <w:szCs w:val="24"/>
        </w:rPr>
        <w:fldChar w:fldCharType="separate"/>
      </w:r>
      <w:r>
        <w:rPr>
          <w:rFonts w:hint="eastAsia" w:ascii="仿宋" w:hAnsi="仿宋" w:eastAsia="仿宋" w:cs="仿宋"/>
          <w:sz w:val="24"/>
          <w:szCs w:val="24"/>
        </w:rPr>
        <w:t>投入本项目项目经理和项目总工</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20</w:t>
      </w:r>
    </w:p>
    <w:p w14:paraId="7DF3277E">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_Toc11166 </w:instrText>
      </w:r>
      <w:r>
        <w:rPr>
          <w:rFonts w:hint="eastAsia" w:ascii="仿宋" w:hAnsi="仿宋" w:eastAsia="仿宋" w:cs="仿宋"/>
          <w:sz w:val="24"/>
          <w:szCs w:val="24"/>
        </w:rPr>
        <w:fldChar w:fldCharType="separate"/>
      </w:r>
      <w:r>
        <w:rPr>
          <w:rFonts w:hint="eastAsia" w:ascii="仿宋" w:hAnsi="仿宋" w:eastAsia="仿宋" w:cs="仿宋"/>
          <w:sz w:val="24"/>
          <w:szCs w:val="24"/>
        </w:rPr>
        <w:t>其他管理和技术人员最低要求</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21</w:t>
      </w:r>
    </w:p>
    <w:p w14:paraId="1D08D38C">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rPr>
      </w:pPr>
      <w:r>
        <w:rPr>
          <w:rFonts w:hint="eastAsia" w:ascii="仿宋" w:hAnsi="仿宋" w:eastAsia="仿宋" w:cs="仿宋"/>
          <w:sz w:val="24"/>
          <w:szCs w:val="24"/>
        </w:rPr>
        <w:t>八、</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_Toc6787 </w:instrText>
      </w:r>
      <w:r>
        <w:rPr>
          <w:rFonts w:hint="eastAsia" w:ascii="仿宋" w:hAnsi="仿宋" w:eastAsia="仿宋" w:cs="仿宋"/>
          <w:sz w:val="24"/>
          <w:szCs w:val="24"/>
        </w:rPr>
        <w:fldChar w:fldCharType="separate"/>
      </w:r>
      <w:r>
        <w:rPr>
          <w:rFonts w:hint="eastAsia" w:ascii="仿宋" w:hAnsi="仿宋" w:eastAsia="仿宋" w:cs="仿宋"/>
          <w:sz w:val="24"/>
          <w:szCs w:val="24"/>
        </w:rPr>
        <w:t>主要机械设备和试验检测设备最低</w:t>
      </w:r>
      <w:r>
        <w:rPr>
          <w:rFonts w:hint="eastAsia" w:ascii="仿宋" w:hAnsi="仿宋" w:eastAsia="仿宋" w:cs="仿宋"/>
          <w:sz w:val="24"/>
          <w:szCs w:val="24"/>
          <w:lang w:val="en-US" w:eastAsia="zh-CN"/>
        </w:rPr>
        <w:t>要</w:t>
      </w:r>
      <w:r>
        <w:rPr>
          <w:rFonts w:hint="eastAsia" w:ascii="仿宋" w:hAnsi="仿宋" w:eastAsia="仿宋" w:cs="仿宋"/>
          <w:sz w:val="24"/>
          <w:szCs w:val="24"/>
        </w:rPr>
        <w:t>求</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22</w:t>
      </w:r>
    </w:p>
    <w:p w14:paraId="28F79FF4">
      <w:pPr>
        <w:pStyle w:val="18"/>
        <w:keepNext w:val="0"/>
        <w:keepLines w:val="0"/>
        <w:pageBreakBefore w:val="0"/>
        <w:widowControl w:val="0"/>
        <w:tabs>
          <w:tab w:val="right" w:leader="dot" w:pos="9746"/>
        </w:tabs>
        <w:kinsoku/>
        <w:wordWrap/>
        <w:overflowPunct/>
        <w:topLinePunct w:val="0"/>
        <w:autoSpaceDE/>
        <w:autoSpaceDN/>
        <w:bidi w:val="0"/>
        <w:adjustRightInd/>
        <w:snapToGrid/>
        <w:spacing w:line="8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九、</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_Toc14346 </w:instrText>
      </w:r>
      <w:r>
        <w:rPr>
          <w:rFonts w:hint="eastAsia" w:ascii="仿宋" w:hAnsi="仿宋" w:eastAsia="仿宋" w:cs="仿宋"/>
          <w:sz w:val="24"/>
          <w:szCs w:val="24"/>
        </w:rPr>
        <w:fldChar w:fldCharType="separate"/>
      </w:r>
      <w:r>
        <w:rPr>
          <w:rFonts w:hint="eastAsia" w:ascii="仿宋" w:hAnsi="仿宋" w:eastAsia="仿宋" w:cs="仿宋"/>
          <w:sz w:val="24"/>
          <w:szCs w:val="24"/>
        </w:rPr>
        <w:t>建设工程农民工工资支付承诺书</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23</w:t>
      </w:r>
    </w:p>
    <w:p w14:paraId="375A3811">
      <w:pPr>
        <w:keepNext w:val="0"/>
        <w:keepLines w:val="0"/>
        <w:pageBreakBefore w:val="0"/>
        <w:widowControl w:val="0"/>
        <w:tabs>
          <w:tab w:val="left" w:pos="1313"/>
        </w:tabs>
        <w:kinsoku/>
        <w:wordWrap/>
        <w:overflowPunct/>
        <w:topLinePunct w:val="0"/>
        <w:autoSpaceDE/>
        <w:autoSpaceDN/>
        <w:bidi w:val="0"/>
        <w:adjustRightInd/>
        <w:snapToGrid/>
        <w:spacing w:line="800" w:lineRule="exact"/>
        <w:jc w:val="left"/>
        <w:textAlignment w:val="auto"/>
        <w:rPr>
          <w:rFonts w:hint="eastAsia" w:ascii="仿宋" w:hAnsi="仿宋" w:eastAsia="仿宋" w:cs="仿宋"/>
          <w:szCs w:val="32"/>
        </w:rPr>
        <w:sectPr>
          <w:headerReference r:id="rId16" w:type="default"/>
          <w:footerReference r:id="rId17" w:type="default"/>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sz w:val="24"/>
          <w:szCs w:val="24"/>
        </w:rPr>
        <w:fldChar w:fldCharType="end"/>
      </w:r>
    </w:p>
    <w:p w14:paraId="3EB05242">
      <w:pPr>
        <w:jc w:val="center"/>
        <w:rPr>
          <w:rFonts w:hint="eastAsia" w:ascii="仿宋" w:hAnsi="仿宋" w:eastAsia="仿宋" w:cs="仿宋"/>
          <w:b/>
          <w:bCs/>
          <w:sz w:val="32"/>
          <w:szCs w:val="32"/>
        </w:rPr>
      </w:pPr>
      <w:bookmarkStart w:id="550" w:name="_Toc2790"/>
      <w:bookmarkStart w:id="551" w:name="_Toc28980"/>
      <w:r>
        <w:rPr>
          <w:rFonts w:hint="eastAsia" w:ascii="仿宋" w:hAnsi="仿宋" w:eastAsia="仿宋" w:cs="仿宋"/>
          <w:b/>
          <w:bCs/>
          <w:sz w:val="32"/>
          <w:szCs w:val="32"/>
        </w:rPr>
        <w:t>合 同 协 议 书</w:t>
      </w:r>
      <w:bookmarkEnd w:id="550"/>
      <w:bookmarkEnd w:id="551"/>
    </w:p>
    <w:p w14:paraId="27F0027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（发包人名称，以下简称“发包人” ）为实施</w:t>
      </w:r>
      <w:r>
        <w:rPr>
          <w:rFonts w:hint="eastAsia" w:ascii="仿宋" w:hAnsi="仿宋" w:eastAsia="仿宋" w:cs="仿宋"/>
          <w:sz w:val="24"/>
          <w:szCs w:val="24"/>
          <w:u w:val="single"/>
          <w:lang w:val="en-US" w:eastAsia="zh-CN"/>
        </w:rPr>
        <w:t xml:space="preserve"> 荥阳市交通运输局荥阳市2025年普通国省道穿村过镇平交路口治理项目 </w:t>
      </w:r>
      <w:r>
        <w:rPr>
          <w:rFonts w:hint="eastAsia" w:ascii="仿宋" w:hAnsi="仿宋" w:eastAsia="仿宋" w:cs="仿宋"/>
          <w:sz w:val="24"/>
          <w:szCs w:val="24"/>
          <w:u w:val="none"/>
        </w:rPr>
        <w:t>（项目名称），已接</w:t>
      </w:r>
      <w:r>
        <w:rPr>
          <w:rFonts w:hint="eastAsia" w:ascii="仿宋" w:hAnsi="仿宋" w:eastAsia="仿宋" w:cs="仿宋"/>
          <w:sz w:val="24"/>
          <w:szCs w:val="24"/>
          <w:u w:val="none"/>
          <w:lang w:val="en-US" w:eastAsia="zh-CN"/>
        </w:rPr>
        <w:t>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（承包人名称，以下简称“承包人”）对该项目施工的投标。发包人和承包人共同达成如下协议。</w:t>
      </w:r>
    </w:p>
    <w:p w14:paraId="51125BCE">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rPr>
        <w:t>1、主要建设内容包含</w:t>
      </w:r>
      <w:r>
        <w:rPr>
          <w:rFonts w:hint="eastAsia" w:ascii="仿宋" w:hAnsi="仿宋" w:eastAsia="仿宋" w:cs="仿宋"/>
          <w:sz w:val="24"/>
          <w:szCs w:val="24"/>
          <w:u w:val="none"/>
          <w:lang w:val="en-US" w:eastAsia="zh-CN"/>
        </w:rPr>
        <w:t>该项目根据技术指标、道路及交通安全设施现状情况，增设标志、标线、道口标柱、通视三角区障碍物清除、减速带、LED警示装置、黄闪灯、道路预警设施，路面修复等，消除道路安全隐患，提升道路交通安全保障能力。详见施工图纸及工程量清单。</w:t>
      </w:r>
    </w:p>
    <w:p w14:paraId="079ADE45">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2、下列文件应视为构成合同文件的组成部分：</w:t>
      </w:r>
    </w:p>
    <w:p w14:paraId="0A7CC5C6">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（1）本合同协议书及各种合同附件（含评标期间和合同谈判过程中的澄清文件和补充资料）；</w:t>
      </w:r>
    </w:p>
    <w:p w14:paraId="57D842A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（2）中标通知书；</w:t>
      </w:r>
    </w:p>
    <w:p w14:paraId="1CA9CEC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（3）补遗书；</w:t>
      </w:r>
    </w:p>
    <w:p w14:paraId="20B27C6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（4）投标函及投标函附录；</w:t>
      </w:r>
    </w:p>
    <w:p w14:paraId="5BA66D9A">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（5）项目专用合同条款；</w:t>
      </w:r>
    </w:p>
    <w:p w14:paraId="030F098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（6）公路行业标准专用合同条款；</w:t>
      </w:r>
    </w:p>
    <w:p w14:paraId="02EB7F81">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（7）通用合同条款；</w:t>
      </w:r>
    </w:p>
    <w:p w14:paraId="0702C68A">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（8）技术规范；</w:t>
      </w:r>
    </w:p>
    <w:p w14:paraId="41F69F7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（9）图纸；</w:t>
      </w:r>
    </w:p>
    <w:p w14:paraId="5BEA163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（10）已标价工程量清单；</w:t>
      </w:r>
    </w:p>
    <w:p w14:paraId="4A46257D">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（11）资格预审申请文件中有关人员、设备投入的承诺和目标承诺书；</w:t>
      </w:r>
    </w:p>
    <w:p w14:paraId="1CF0F208">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（12）根据承诺提供的详细人员、设备清单；</w:t>
      </w:r>
    </w:p>
    <w:p w14:paraId="0A4DD20C">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（13）施工组织设计安排；</w:t>
      </w:r>
    </w:p>
    <w:p w14:paraId="5BCF3C8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（14）农民工工资支付承诺书；</w:t>
      </w:r>
    </w:p>
    <w:p w14:paraId="3834ABA9">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（15）其他相关文件。</w:t>
      </w:r>
    </w:p>
    <w:p w14:paraId="132512DD">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3、上述文件互相补充和解释，如有不明确或不一致之处，以合同约定次序在先者为准。</w:t>
      </w:r>
    </w:p>
    <w:p w14:paraId="558EE006">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u w:val="none"/>
        </w:rPr>
        <w:t>4、根据工程量清单所列的预计数量和单价计算的签约合同价：人民币（大写）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，逾期未完工的不接受调价。</w:t>
      </w:r>
    </w:p>
    <w:p w14:paraId="14DCC385">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u w:val="none"/>
        </w:rPr>
        <w:t>5、承包人项目经理：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技术负责人：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w:t>
      </w:r>
    </w:p>
    <w:p w14:paraId="0DB3AFF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u w:val="none"/>
        </w:rPr>
        <w:t>6、工程质量</w:t>
      </w:r>
      <w:r>
        <w:rPr>
          <w:rFonts w:hint="eastAsia" w:ascii="仿宋" w:hAnsi="仿宋" w:eastAsia="仿宋" w:cs="仿宋"/>
          <w:sz w:val="24"/>
          <w:szCs w:val="24"/>
          <w:u w:val="none"/>
          <w:lang w:eastAsia="zh-CN"/>
        </w:rPr>
        <w:t>：</w:t>
      </w:r>
      <w:r>
        <w:rPr>
          <w:rFonts w:hint="eastAsia" w:ascii="仿宋" w:hAnsi="仿宋" w:eastAsia="仿宋" w:cs="仿宋"/>
          <w:sz w:val="24"/>
          <w:szCs w:val="24"/>
          <w:u w:val="single"/>
          <w:lang w:val="en-US" w:eastAsia="zh-CN"/>
        </w:rPr>
        <w:t>符合国家现行相关标准和规范要求，达到合格标准</w:t>
      </w:r>
    </w:p>
    <w:p w14:paraId="2C1D6AB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7、承包人承诺按合同约定承担工程的实施、完成及缺陷修复。</w:t>
      </w:r>
    </w:p>
    <w:p w14:paraId="18613D48">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8、工程计量及工程款支付。</w:t>
      </w:r>
    </w:p>
    <w:p w14:paraId="2C03B61C">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（1）工程量以实际发生的经三方签认的工程量为依据进行计量；支付单价以投标清单报价为依据，设计变更和签证涉及到投标清单没有的单价时，按照相应管理办法由</w:t>
      </w:r>
      <w:r>
        <w:rPr>
          <w:rFonts w:hint="eastAsia" w:ascii="仿宋" w:hAnsi="仿宋" w:eastAsia="仿宋" w:cs="仿宋"/>
          <w:sz w:val="24"/>
          <w:szCs w:val="24"/>
          <w:u w:val="none"/>
          <w:lang w:val="en-US" w:eastAsia="zh-CN"/>
        </w:rPr>
        <w:t>承包人</w:t>
      </w:r>
      <w:r>
        <w:rPr>
          <w:rFonts w:hint="eastAsia" w:ascii="仿宋" w:hAnsi="仿宋" w:eastAsia="仿宋" w:cs="仿宋"/>
          <w:sz w:val="24"/>
          <w:szCs w:val="24"/>
          <w:u w:val="none"/>
        </w:rPr>
        <w:t>组价报批，监理和</w:t>
      </w:r>
      <w:r>
        <w:rPr>
          <w:rFonts w:hint="eastAsia" w:ascii="仿宋" w:hAnsi="仿宋" w:eastAsia="仿宋" w:cs="仿宋"/>
          <w:sz w:val="24"/>
          <w:szCs w:val="24"/>
          <w:u w:val="none"/>
          <w:lang w:val="en-US" w:eastAsia="zh-CN"/>
        </w:rPr>
        <w:t>发包人</w:t>
      </w:r>
      <w:r>
        <w:rPr>
          <w:rFonts w:hint="eastAsia" w:ascii="仿宋" w:hAnsi="仿宋" w:eastAsia="仿宋" w:cs="仿宋"/>
          <w:sz w:val="24"/>
          <w:szCs w:val="24"/>
          <w:u w:val="none"/>
        </w:rPr>
        <w:t>负责审核定价报审，最终以审计审定的综合单价进行结算支付。</w:t>
      </w:r>
    </w:p>
    <w:p w14:paraId="05D4D5E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（2）合同签订并进场施工后</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可支付到签约合同价的</w:t>
      </w:r>
      <w:r>
        <w:rPr>
          <w:rFonts w:hint="eastAsia" w:ascii="仿宋" w:hAnsi="仿宋" w:eastAsia="仿宋" w:cs="仿宋"/>
          <w:sz w:val="24"/>
          <w:szCs w:val="24"/>
          <w:u w:val="none"/>
          <w:lang w:val="en-US" w:eastAsia="zh-CN"/>
        </w:rPr>
        <w:t>5</w:t>
      </w:r>
      <w:r>
        <w:rPr>
          <w:rFonts w:hint="eastAsia" w:ascii="仿宋" w:hAnsi="仿宋" w:eastAsia="仿宋" w:cs="仿宋"/>
          <w:sz w:val="24"/>
          <w:szCs w:val="24"/>
          <w:u w:val="none"/>
        </w:rPr>
        <w:t>0%，工程交工验收合格</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可支付到签约合同价的</w:t>
      </w:r>
      <w:r>
        <w:rPr>
          <w:rFonts w:hint="eastAsia" w:ascii="仿宋" w:hAnsi="仿宋" w:eastAsia="仿宋" w:cs="仿宋"/>
          <w:sz w:val="24"/>
          <w:szCs w:val="24"/>
          <w:u w:val="none"/>
          <w:lang w:val="en-US" w:eastAsia="zh-CN"/>
        </w:rPr>
        <w:t>7</w:t>
      </w:r>
      <w:r>
        <w:rPr>
          <w:rFonts w:hint="eastAsia" w:ascii="仿宋" w:hAnsi="仿宋" w:eastAsia="仿宋" w:cs="仿宋"/>
          <w:sz w:val="24"/>
          <w:szCs w:val="24"/>
          <w:u w:val="none"/>
        </w:rPr>
        <w:t>0%，工程结算审计完成后</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可支付到审定工程款的97%，剩余</w:t>
      </w:r>
      <w:r>
        <w:rPr>
          <w:rFonts w:hint="eastAsia" w:ascii="仿宋" w:hAnsi="仿宋" w:eastAsia="仿宋" w:cs="仿宋"/>
          <w:sz w:val="24"/>
          <w:szCs w:val="24"/>
          <w:u w:val="none"/>
          <w:lang w:eastAsia="zh-CN"/>
        </w:rPr>
        <w:t>款项一年后无息</w:t>
      </w:r>
      <w:r>
        <w:rPr>
          <w:rFonts w:hint="eastAsia" w:ascii="仿宋" w:hAnsi="仿宋" w:eastAsia="仿宋" w:cs="仿宋"/>
          <w:sz w:val="24"/>
          <w:szCs w:val="24"/>
          <w:u w:val="none"/>
        </w:rPr>
        <w:t>一次性付清。</w:t>
      </w:r>
    </w:p>
    <w:p w14:paraId="27AD5E91">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u w:val="none"/>
        </w:rPr>
        <w:t>9、承包人应按照监理人指示开工，工期为</w:t>
      </w:r>
      <w:r>
        <w:rPr>
          <w:rFonts w:hint="eastAsia" w:ascii="仿宋" w:hAnsi="仿宋" w:eastAsia="仿宋" w:cs="仿宋"/>
          <w:sz w:val="24"/>
          <w:szCs w:val="24"/>
          <w:u w:val="single"/>
          <w:lang w:val="en-US" w:eastAsia="zh-CN"/>
        </w:rPr>
        <w:t xml:space="preserve"> 30 </w:t>
      </w:r>
      <w:r>
        <w:rPr>
          <w:rFonts w:hint="eastAsia" w:ascii="仿宋" w:hAnsi="仿宋" w:eastAsia="仿宋" w:cs="仿宋"/>
          <w:sz w:val="24"/>
          <w:szCs w:val="24"/>
          <w:u w:val="single"/>
        </w:rPr>
        <w:t>日历天，</w:t>
      </w:r>
      <w:r>
        <w:rPr>
          <w:rFonts w:hint="eastAsia" w:ascii="仿宋" w:hAnsi="仿宋" w:eastAsia="仿宋" w:cs="仿宋"/>
          <w:sz w:val="24"/>
          <w:szCs w:val="24"/>
          <w:u w:val="none"/>
        </w:rPr>
        <w:t>计划开工时间</w:t>
      </w:r>
      <w:r>
        <w:rPr>
          <w:rFonts w:hint="eastAsia" w:ascii="仿宋" w:hAnsi="仿宋" w:eastAsia="仿宋" w:cs="仿宋"/>
          <w:sz w:val="24"/>
          <w:szCs w:val="24"/>
          <w:u w:val="single"/>
          <w:lang w:val="en-US" w:eastAsia="zh-CN"/>
        </w:rPr>
        <w:t xml:space="preserve"> 2025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u w:val="none"/>
        </w:rPr>
        <w:t>计划完工时间</w:t>
      </w:r>
      <w:r>
        <w:rPr>
          <w:rFonts w:hint="eastAsia" w:ascii="仿宋" w:hAnsi="仿宋" w:eastAsia="仿宋" w:cs="仿宋"/>
          <w:sz w:val="24"/>
          <w:szCs w:val="24"/>
          <w:u w:val="single"/>
          <w:lang w:val="en-US" w:eastAsia="zh-CN"/>
        </w:rPr>
        <w:t>2025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p>
    <w:p w14:paraId="46A82246">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10、本协议书在承包人提供履约担保后，由双方法定代表人或其委托代理人签署并加盖公章后生效；于全部工程完工后经竣工验收合格且缺陷责任期及保修期届满，并分别签发缺陷责任终止证书和保修期终止证书后失效。</w:t>
      </w:r>
    </w:p>
    <w:p w14:paraId="3245924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11、发包人对工地进行巡查监督检查，如发现承包人有违规作业、违规执业的现象，按双方约定处理。</w:t>
      </w:r>
    </w:p>
    <w:p w14:paraId="3F8F7135">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rPr>
        <w:t>12、</w:t>
      </w:r>
      <w:r>
        <w:rPr>
          <w:rFonts w:hint="eastAsia" w:ascii="仿宋" w:hAnsi="仿宋" w:eastAsia="仿宋" w:cs="仿宋"/>
          <w:sz w:val="24"/>
          <w:szCs w:val="24"/>
          <w:u w:val="none"/>
          <w:lang w:val="zh-CN"/>
        </w:rPr>
        <w:t>承包人未经发包人同意，不得将所承包工程的任何部分进行分包，也不允许转包给他人，更不得将其承包的全部工程肢解以后，以分包的名义分别转包给他人。</w:t>
      </w:r>
    </w:p>
    <w:p w14:paraId="146FEBB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rPr>
        <w:t>13、</w:t>
      </w:r>
      <w:r>
        <w:rPr>
          <w:rFonts w:hint="eastAsia" w:ascii="仿宋" w:hAnsi="仿宋" w:eastAsia="仿宋" w:cs="仿宋"/>
          <w:sz w:val="24"/>
          <w:szCs w:val="24"/>
          <w:u w:val="none"/>
          <w:lang w:val="zh-CN"/>
        </w:rPr>
        <w:t>承包人应针对本工程施工制定相应的安全措施，还要对职工进行安全教育，防范第三人发生安全事故，凡因违反安全措施而造成的罚款、人身伤亡事故或伤害他人事故，均由承包人负责，如因此导致发包人承担责任的，发包人有权向承包人追偿，发包人为维护权益和实现追偿权而产生的费用（包含但不限于案件受理费、律师代理费、执行费、鉴定费、差旅费、</w:t>
      </w:r>
      <w:r>
        <w:rPr>
          <w:rFonts w:hint="eastAsia" w:ascii="仿宋" w:hAnsi="仿宋" w:eastAsia="仿宋" w:cs="仿宋"/>
          <w:sz w:val="24"/>
          <w:szCs w:val="24"/>
          <w:u w:val="none"/>
          <w:lang w:val="en-US" w:eastAsia="zh-CN"/>
        </w:rPr>
        <w:t>保全费</w:t>
      </w:r>
      <w:r>
        <w:rPr>
          <w:rFonts w:hint="eastAsia" w:ascii="仿宋" w:hAnsi="仿宋" w:eastAsia="仿宋" w:cs="仿宋"/>
          <w:sz w:val="24"/>
          <w:szCs w:val="24"/>
          <w:u w:val="none"/>
          <w:lang w:val="zh-CN"/>
        </w:rPr>
        <w:t>等）全部由承包人承担。</w:t>
      </w:r>
    </w:p>
    <w:p w14:paraId="0CE3F32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14、</w:t>
      </w:r>
      <w:r>
        <w:rPr>
          <w:rFonts w:hint="eastAsia" w:ascii="仿宋" w:hAnsi="仿宋" w:eastAsia="仿宋" w:cs="仿宋"/>
          <w:sz w:val="24"/>
          <w:szCs w:val="24"/>
          <w:u w:val="none"/>
          <w:lang w:val="zh-CN"/>
        </w:rPr>
        <w:t>因承包</w:t>
      </w:r>
      <w:r>
        <w:rPr>
          <w:rFonts w:hint="eastAsia" w:ascii="仿宋" w:hAnsi="仿宋" w:eastAsia="仿宋" w:cs="仿宋"/>
          <w:sz w:val="24"/>
          <w:szCs w:val="24"/>
          <w:u w:val="none"/>
          <w:lang w:val="en-US" w:eastAsia="zh-CN"/>
        </w:rPr>
        <w:t>人</w:t>
      </w:r>
      <w:r>
        <w:rPr>
          <w:rFonts w:hint="eastAsia" w:ascii="仿宋" w:hAnsi="仿宋" w:eastAsia="仿宋" w:cs="仿宋"/>
          <w:sz w:val="24"/>
          <w:szCs w:val="24"/>
          <w:u w:val="none"/>
          <w:lang w:val="zh-CN"/>
        </w:rPr>
        <w:t>在投标过程中串标、围标或采用其他违法行为获取中标的，一旦被有关单位发现，发包人有权单方解除合同，同时承包人应赔偿由此给发包人所造成的一切损失。</w:t>
      </w:r>
    </w:p>
    <w:p w14:paraId="28E2688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15、</w:t>
      </w:r>
      <w:r>
        <w:rPr>
          <w:rFonts w:hint="eastAsia" w:ascii="仿宋" w:hAnsi="仿宋" w:eastAsia="仿宋" w:cs="仿宋"/>
          <w:sz w:val="24"/>
          <w:szCs w:val="24"/>
          <w:u w:val="none"/>
          <w:lang w:val="zh-CN"/>
        </w:rPr>
        <w:t>承包人应按规定向相关部门交纳农民工工资保障金，承包人不允许拖欠、克扣民工工资，</w:t>
      </w:r>
      <w:r>
        <w:rPr>
          <w:rFonts w:hint="eastAsia" w:ascii="仿宋" w:hAnsi="仿宋" w:eastAsia="仿宋" w:cs="仿宋"/>
          <w:sz w:val="24"/>
          <w:szCs w:val="24"/>
          <w:u w:val="none"/>
        </w:rPr>
        <w:t>如有，发包人可中止合同，待承包人妥善处理后继续履行</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因此延误的合同工期由承包人承担责任</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zh-CN"/>
        </w:rPr>
        <w:t>如有发生民工上访等事件，由承包人承担全部责任。</w:t>
      </w:r>
    </w:p>
    <w:p w14:paraId="59B0EBDA">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16、如因承包人违规作业，拖欠农民工工资等情况，给发包人造成经济损失或不良影响的，由承包人承担全部责任并赔偿损失。</w:t>
      </w:r>
    </w:p>
    <w:p w14:paraId="68D5F893">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17、本合同书一式陆份，合同双方各执叁份.</w:t>
      </w:r>
    </w:p>
    <w:p w14:paraId="1410FFC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18、本合同书未尽事宜，双方另行签订补充协议。补充协议是本合同书的组成部分。</w:t>
      </w:r>
    </w:p>
    <w:p w14:paraId="35697B56">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19、双方在本合同履行中发生争议的，可以协商解决；若协商不成，</w:t>
      </w:r>
      <w:r>
        <w:rPr>
          <w:rFonts w:hint="eastAsia" w:ascii="仿宋" w:hAnsi="仿宋" w:eastAsia="仿宋" w:cs="仿宋"/>
          <w:sz w:val="24"/>
          <w:szCs w:val="24"/>
          <w:u w:val="none"/>
          <w:lang w:val="en-US" w:eastAsia="zh-CN"/>
        </w:rPr>
        <w:t>向荥阳市人民法院</w:t>
      </w:r>
      <w:r>
        <w:rPr>
          <w:rFonts w:hint="eastAsia" w:ascii="仿宋" w:hAnsi="仿宋" w:eastAsia="仿宋" w:cs="仿宋"/>
          <w:sz w:val="24"/>
          <w:szCs w:val="24"/>
          <w:u w:val="none"/>
        </w:rPr>
        <w:t>诉讼解决。</w:t>
      </w:r>
    </w:p>
    <w:p w14:paraId="058E753B">
      <w:pPr>
        <w:tabs>
          <w:tab w:val="left" w:pos="5798"/>
        </w:tabs>
        <w:adjustRightInd w:val="0"/>
        <w:snapToGrid w:val="0"/>
        <w:spacing w:line="58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ab/>
      </w:r>
    </w:p>
    <w:p w14:paraId="5CFE9450">
      <w:pPr>
        <w:adjustRightInd w:val="0"/>
        <w:snapToGrid w:val="0"/>
        <w:spacing w:line="580" w:lineRule="exact"/>
        <w:jc w:val="left"/>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荥阳市交通运输局</w:t>
      </w:r>
      <w:r>
        <w:rPr>
          <w:rFonts w:hint="eastAsia" w:ascii="仿宋" w:hAnsi="仿宋" w:eastAsia="仿宋" w:cs="仿宋"/>
          <w:sz w:val="24"/>
          <w:szCs w:val="24"/>
        </w:rPr>
        <w:t xml:space="preserve">        承包人：</w:t>
      </w:r>
      <w:r>
        <w:rPr>
          <w:rFonts w:hint="eastAsia" w:ascii="仿宋" w:hAnsi="仿宋" w:eastAsia="仿宋" w:cs="仿宋"/>
          <w:sz w:val="24"/>
          <w:szCs w:val="24"/>
          <w:u w:val="single"/>
        </w:rPr>
        <w:t xml:space="preserve">                </w:t>
      </w:r>
    </w:p>
    <w:p w14:paraId="4C4E93B5">
      <w:pPr>
        <w:adjustRightInd w:val="0"/>
        <w:snapToGrid w:val="0"/>
        <w:spacing w:line="580" w:lineRule="exact"/>
        <w:ind w:firstLine="960" w:firstLineChars="400"/>
        <w:jc w:val="left"/>
        <w:rPr>
          <w:rFonts w:hint="eastAsia" w:ascii="仿宋" w:hAnsi="仿宋" w:eastAsia="仿宋" w:cs="仿宋"/>
          <w:sz w:val="24"/>
          <w:szCs w:val="24"/>
        </w:rPr>
      </w:pPr>
      <w:r>
        <w:rPr>
          <w:rFonts w:hint="eastAsia" w:ascii="仿宋" w:hAnsi="仿宋" w:eastAsia="仿宋" w:cs="仿宋"/>
          <w:sz w:val="24"/>
          <w:szCs w:val="24"/>
        </w:rPr>
        <w:t>（盖单位公章）                  （盖单位公章）</w:t>
      </w:r>
    </w:p>
    <w:p w14:paraId="67B1B70F">
      <w:pPr>
        <w:adjustRightInd w:val="0"/>
        <w:snapToGrid w:val="0"/>
        <w:spacing w:line="580" w:lineRule="exact"/>
        <w:jc w:val="left"/>
        <w:rPr>
          <w:rFonts w:hint="eastAsia" w:ascii="仿宋" w:hAnsi="仿宋" w:eastAsia="仿宋" w:cs="仿宋"/>
          <w:sz w:val="24"/>
          <w:szCs w:val="24"/>
        </w:rPr>
      </w:pPr>
      <w:r>
        <w:rPr>
          <w:rFonts w:hint="eastAsia" w:ascii="仿宋" w:hAnsi="仿宋" w:eastAsia="仿宋" w:cs="仿宋"/>
          <w:sz w:val="24"/>
          <w:szCs w:val="24"/>
        </w:rPr>
        <w:t>法定代表人或                    法定代表人或</w:t>
      </w:r>
    </w:p>
    <w:p w14:paraId="2794FB3A">
      <w:pPr>
        <w:adjustRightInd w:val="0"/>
        <w:snapToGrid w:val="0"/>
        <w:spacing w:line="580" w:lineRule="exact"/>
        <w:jc w:val="left"/>
        <w:rPr>
          <w:rFonts w:hint="eastAsia" w:ascii="仿宋" w:hAnsi="仿宋" w:eastAsia="仿宋" w:cs="仿宋"/>
          <w:sz w:val="24"/>
          <w:szCs w:val="24"/>
        </w:rPr>
      </w:pPr>
      <w:r>
        <w:rPr>
          <w:rFonts w:hint="eastAsia" w:ascii="仿宋" w:hAnsi="仿宋" w:eastAsia="仿宋" w:cs="仿宋"/>
          <w:sz w:val="24"/>
          <w:szCs w:val="24"/>
        </w:rPr>
        <w:t>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   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3611DEE7">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1EF8562A">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户名：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户名：</w:t>
      </w:r>
      <w:r>
        <w:rPr>
          <w:rFonts w:hint="eastAsia" w:ascii="仿宋" w:hAnsi="仿宋" w:eastAsia="仿宋" w:cs="仿宋"/>
          <w:sz w:val="24"/>
          <w:szCs w:val="24"/>
          <w:u w:val="single"/>
        </w:rPr>
        <w:t xml:space="preserve">                </w:t>
      </w:r>
    </w:p>
    <w:p w14:paraId="78279D3D">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账户：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账户：</w:t>
      </w:r>
      <w:r>
        <w:rPr>
          <w:rFonts w:hint="eastAsia" w:ascii="仿宋" w:hAnsi="仿宋" w:eastAsia="仿宋" w:cs="仿宋"/>
          <w:sz w:val="24"/>
          <w:szCs w:val="24"/>
          <w:u w:val="single"/>
        </w:rPr>
        <w:t xml:space="preserve">                </w:t>
      </w:r>
    </w:p>
    <w:p w14:paraId="457A4F80">
      <w:pPr>
        <w:adjustRightInd w:val="0"/>
        <w:snapToGrid w:val="0"/>
        <w:spacing w:line="580" w:lineRule="exact"/>
        <w:rPr>
          <w:rFonts w:hint="eastAsia" w:ascii="仿宋" w:hAnsi="仿宋" w:eastAsia="仿宋" w:cs="仿宋"/>
          <w:color w:val="FF0000"/>
          <w:sz w:val="24"/>
          <w:szCs w:val="24"/>
        </w:rPr>
      </w:pPr>
      <w:r>
        <w:rPr>
          <w:rFonts w:hint="eastAsia" w:ascii="仿宋" w:hAnsi="仿宋" w:eastAsia="仿宋" w:cs="仿宋"/>
          <w:sz w:val="24"/>
          <w:szCs w:val="24"/>
        </w:rPr>
        <w:t>开户行名称：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开户行名称：</w:t>
      </w:r>
      <w:r>
        <w:rPr>
          <w:rFonts w:hint="eastAsia" w:ascii="仿宋" w:hAnsi="仿宋" w:eastAsia="仿宋" w:cs="仿宋"/>
          <w:sz w:val="24"/>
          <w:szCs w:val="24"/>
          <w:u w:val="single"/>
        </w:rPr>
        <w:t xml:space="preserve">               </w:t>
      </w:r>
    </w:p>
    <w:p w14:paraId="52A73B95">
      <w:pPr>
        <w:spacing w:line="360" w:lineRule="auto"/>
        <w:jc w:val="center"/>
        <w:outlineLvl w:val="0"/>
        <w:rPr>
          <w:rFonts w:hint="eastAsia" w:ascii="仿宋" w:hAnsi="仿宋" w:eastAsia="仿宋" w:cs="仿宋"/>
          <w:sz w:val="24"/>
          <w:szCs w:val="24"/>
        </w:rPr>
      </w:pPr>
      <w:bookmarkStart w:id="552" w:name="_Toc22811"/>
      <w:bookmarkStart w:id="553" w:name="_Toc28075"/>
      <w:bookmarkStart w:id="554" w:name="_Toc32495"/>
      <w:bookmarkStart w:id="555" w:name="_Toc5082"/>
    </w:p>
    <w:p w14:paraId="26BA7A9C">
      <w:pPr>
        <w:rPr>
          <w:rFonts w:hint="eastAsia" w:ascii="仿宋" w:hAnsi="仿宋" w:eastAsia="仿宋" w:cs="仿宋"/>
        </w:rPr>
      </w:pPr>
      <w:r>
        <w:rPr>
          <w:rFonts w:hint="eastAsia" w:ascii="仿宋" w:hAnsi="仿宋" w:eastAsia="仿宋" w:cs="仿宋"/>
        </w:rPr>
        <w:br w:type="page"/>
      </w:r>
    </w:p>
    <w:p w14:paraId="30061D15">
      <w:pPr>
        <w:rPr>
          <w:rFonts w:hint="eastAsia" w:ascii="仿宋" w:hAnsi="仿宋" w:eastAsia="仿宋" w:cs="仿宋"/>
        </w:rPr>
      </w:pPr>
    </w:p>
    <w:p w14:paraId="16186B65">
      <w:pPr>
        <w:jc w:val="center"/>
        <w:rPr>
          <w:rFonts w:hint="eastAsia" w:ascii="仿宋" w:hAnsi="仿宋" w:eastAsia="仿宋" w:cs="仿宋"/>
          <w:sz w:val="44"/>
          <w:szCs w:val="44"/>
          <w:u w:val="single"/>
        </w:rPr>
      </w:pPr>
      <w:r>
        <w:rPr>
          <w:rFonts w:hint="eastAsia" w:ascii="仿宋" w:hAnsi="仿宋" w:eastAsia="仿宋" w:cs="仿宋"/>
          <w:b/>
          <w:bCs/>
          <w:sz w:val="32"/>
          <w:szCs w:val="32"/>
        </w:rPr>
        <w:t>施工合同洽谈备忘录</w:t>
      </w:r>
      <w:bookmarkEnd w:id="552"/>
    </w:p>
    <w:bookmarkEnd w:id="553"/>
    <w:p w14:paraId="15F5089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single"/>
        </w:rPr>
        <w:t xml:space="preserve"> 荥阳市交通运输局 </w:t>
      </w:r>
      <w:r>
        <w:rPr>
          <w:rFonts w:hint="eastAsia" w:ascii="仿宋" w:hAnsi="仿宋" w:eastAsia="仿宋" w:cs="仿宋"/>
          <w:sz w:val="24"/>
          <w:szCs w:val="24"/>
          <w:u w:val="none"/>
        </w:rPr>
        <w:t>（下称“业主”）和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（下称“承包人”）就</w:t>
      </w:r>
      <w:r>
        <w:rPr>
          <w:rFonts w:hint="eastAsia" w:ascii="仿宋" w:hAnsi="仿宋" w:eastAsia="仿宋" w:cs="仿宋"/>
          <w:sz w:val="24"/>
          <w:szCs w:val="24"/>
          <w:u w:val="single"/>
          <w:lang w:val="en-US" w:eastAsia="zh-CN"/>
        </w:rPr>
        <w:t>荥阳市交通运输局荥阳市2025年普通国省道穿村过镇平交路口治理项目</w:t>
      </w:r>
      <w:r>
        <w:rPr>
          <w:rFonts w:hint="eastAsia" w:ascii="仿宋" w:hAnsi="仿宋" w:eastAsia="仿宋" w:cs="仿宋"/>
          <w:sz w:val="24"/>
          <w:szCs w:val="24"/>
          <w:u w:val="none"/>
        </w:rPr>
        <w:t>（项目名称）施工合同于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2025</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日进行了合同洽谈，双方在认真执行招投标文件各项约定的基础上，达成以下一致意见：</w:t>
      </w:r>
    </w:p>
    <w:p w14:paraId="59B07FD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一、主要人员和机械设备</w:t>
      </w:r>
    </w:p>
    <w:p w14:paraId="06D05095">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（一）人员</w:t>
      </w:r>
    </w:p>
    <w:p w14:paraId="5CA22CE1">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1．承包人不得更换投标文件中对业主承诺的拟投入的关键人员的主要人员（包括项目经理、项目总工、试验检测工程师、造价工程师、路面工程师、路基工程师、测量工程师、安全员）。</w:t>
      </w:r>
    </w:p>
    <w:p w14:paraId="08B91285">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2.承包人投入关键人员如下：</w:t>
      </w:r>
    </w:p>
    <w:p w14:paraId="6FE15764">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项目经理：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，项目总工：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，施工员</w:t>
      </w:r>
      <w:r>
        <w:rPr>
          <w:rFonts w:hint="eastAsia" w:ascii="仿宋" w:hAnsi="仿宋" w:eastAsia="仿宋" w:cs="仿宋"/>
          <w:sz w:val="24"/>
          <w:szCs w:val="24"/>
          <w:u w:val="non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质量员</w:t>
      </w:r>
      <w:r>
        <w:rPr>
          <w:rFonts w:hint="eastAsia" w:ascii="仿宋" w:hAnsi="仿宋" w:eastAsia="仿宋" w:cs="仿宋"/>
          <w:sz w:val="24"/>
          <w:szCs w:val="24"/>
          <w:u w:val="non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，专职安全员</w:t>
      </w:r>
      <w:r>
        <w:rPr>
          <w:rFonts w:hint="eastAsia" w:ascii="仿宋" w:hAnsi="仿宋" w:eastAsia="仿宋" w:cs="仿宋"/>
          <w:sz w:val="24"/>
          <w:szCs w:val="24"/>
          <w:u w:val="non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材料员</w:t>
      </w:r>
      <w:r>
        <w:rPr>
          <w:rFonts w:hint="eastAsia" w:ascii="仿宋" w:hAnsi="仿宋" w:eastAsia="仿宋" w:cs="仿宋"/>
          <w:sz w:val="24"/>
          <w:szCs w:val="24"/>
          <w:u w:val="non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预算员</w:t>
      </w:r>
      <w:r>
        <w:rPr>
          <w:rFonts w:hint="eastAsia" w:ascii="仿宋" w:hAnsi="仿宋" w:eastAsia="仿宋" w:cs="仿宋"/>
          <w:sz w:val="24"/>
          <w:szCs w:val="24"/>
          <w:u w:val="non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eastAsia="zh-CN"/>
        </w:rPr>
        <w:t>。</w:t>
      </w:r>
    </w:p>
    <w:p w14:paraId="7DDB8AAB">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3．承包人至少配备1名副经理，负责生产管理、协调保通、安全生产、文明生产、扬尘管控等工作。</w:t>
      </w:r>
    </w:p>
    <w:p w14:paraId="7B9F20D4">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4．如在工程进行中，监理人和业主认为部分施工管理人员不能胜任所在岗位工作影响工程质量时，承包人必须对相关人员进行更换，其更换人员的资格资历不得低于投标文件中的承诺。</w:t>
      </w:r>
    </w:p>
    <w:p w14:paraId="2DC4D52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5．如项目推进中承包方擅自更换管理人员，业主将按照如下标准予以处罚：承包人进场的主要人员项目经理、项目总工、试验检测负责人一旦擅自更换，业主将对承包人处罚30万元/人次；合同中其</w:t>
      </w:r>
      <w:r>
        <w:rPr>
          <w:rFonts w:hint="eastAsia" w:ascii="仿宋" w:hAnsi="仿宋" w:eastAsia="仿宋" w:cs="仿宋"/>
          <w:sz w:val="24"/>
          <w:szCs w:val="24"/>
          <w:u w:val="none"/>
          <w:lang w:val="en-US" w:eastAsia="zh-CN"/>
        </w:rPr>
        <w:t>他</w:t>
      </w:r>
      <w:r>
        <w:rPr>
          <w:rFonts w:hint="eastAsia" w:ascii="仿宋" w:hAnsi="仿宋" w:eastAsia="仿宋" w:cs="仿宋"/>
          <w:sz w:val="24"/>
          <w:szCs w:val="24"/>
          <w:u w:val="none"/>
        </w:rPr>
        <w:t>人员一旦擅自更换，业主将对承包人处罚15万元/人次。</w:t>
      </w:r>
    </w:p>
    <w:p w14:paraId="32DD1271">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6．招投标文件要求人员为最低要求，业主及监理根据工程进展情况认为需要增加人员，承包人应无条件增加且不增加费用。</w:t>
      </w:r>
    </w:p>
    <w:p w14:paraId="1BE9BEFD">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7.业主对关键人员进行履约检查，第一次项目经理或技术负责人不在场，每人罚款1万元；第二次项目经理或技术负责人不在场，每人罚款5万元；第三次项目经理或技术负责人不在场，扣除履约保证金并解除本合同协议；其他关键人员履约检查时不在场，罚款2000元/次/人。</w:t>
      </w:r>
    </w:p>
    <w:p w14:paraId="3E81AF3B">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8. 承包方关键人员应在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日前进场，如未能进场，视为承包人单方违约，业主有权终止合同或进行其他相应的处罚。</w:t>
      </w:r>
    </w:p>
    <w:p w14:paraId="4D43FDD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bookmarkStart w:id="556" w:name="_Toc21308"/>
      <w:r>
        <w:rPr>
          <w:rFonts w:hint="eastAsia" w:ascii="仿宋" w:hAnsi="仿宋" w:eastAsia="仿宋" w:cs="仿宋"/>
          <w:sz w:val="24"/>
          <w:szCs w:val="24"/>
          <w:u w:val="none"/>
        </w:rPr>
        <w:t>（二）机械设备</w:t>
      </w:r>
      <w:bookmarkEnd w:id="556"/>
    </w:p>
    <w:p w14:paraId="295E396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1．承包人必须按照投标文件中承诺的拟投入机械设备进场，精心组织施工，并根据工期和工程需要增加机械设备等投入，以满足工程需要。</w:t>
      </w:r>
    </w:p>
    <w:p w14:paraId="2C04A72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2．招标文件要求设备为最低要求，业主及监理根据工程进展情况认为需要增加设备，承包人应无条件增加且不增加费用。</w:t>
      </w:r>
    </w:p>
    <w:p w14:paraId="46E67C41">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二、承包人必须在合同洽谈后</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日前完成项目部驻地建设，拟投入关键人员的主要人员（项目经理、项目总工、试验检测工程师、造价工程师、路面工程师、路基工程师、测量工程师、安全员）进场，</w:t>
      </w:r>
      <w:r>
        <w:rPr>
          <w:rFonts w:hint="eastAsia" w:ascii="仿宋" w:hAnsi="仿宋" w:eastAsia="仿宋" w:cs="仿宋"/>
          <w:color w:val="auto"/>
          <w:sz w:val="24"/>
          <w:szCs w:val="24"/>
          <w:u w:val="none"/>
          <w:shd w:val="clear"/>
        </w:rPr>
        <w:t xml:space="preserve"> </w:t>
      </w:r>
      <w:r>
        <w:rPr>
          <w:rFonts w:hint="eastAsia" w:ascii="仿宋" w:hAnsi="仿宋" w:eastAsia="仿宋" w:cs="仿宋"/>
          <w:color w:val="auto"/>
          <w:sz w:val="24"/>
          <w:szCs w:val="24"/>
          <w:u w:val="single"/>
          <w:shd w:val="clear"/>
          <w:lang w:val="en-US" w:eastAsia="zh-CN"/>
        </w:rPr>
        <w:t>2025</w:t>
      </w:r>
      <w:r>
        <w:rPr>
          <w:rFonts w:hint="eastAsia" w:ascii="仿宋" w:hAnsi="仿宋" w:eastAsia="仿宋" w:cs="仿宋"/>
          <w:color w:val="auto"/>
          <w:sz w:val="24"/>
          <w:szCs w:val="24"/>
          <w:u w:val="none"/>
          <w:shd w:val="clear"/>
          <w:lang w:val="en-US" w:eastAsia="zh-CN"/>
        </w:rPr>
        <w:t>年</w:t>
      </w:r>
      <w:r>
        <w:rPr>
          <w:rFonts w:hint="eastAsia" w:ascii="仿宋" w:hAnsi="仿宋" w:eastAsia="仿宋" w:cs="仿宋"/>
          <w:color w:val="auto"/>
          <w:sz w:val="24"/>
          <w:szCs w:val="24"/>
          <w:u w:val="single"/>
          <w:shd w:val="clear"/>
          <w:lang w:val="en-US" w:eastAsia="zh-CN"/>
        </w:rPr>
        <w:t xml:space="preserve">    </w:t>
      </w:r>
      <w:r>
        <w:rPr>
          <w:rFonts w:hint="eastAsia" w:ascii="仿宋" w:hAnsi="仿宋" w:eastAsia="仿宋" w:cs="仿宋"/>
          <w:sz w:val="24"/>
          <w:szCs w:val="24"/>
          <w:u w:val="non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日前完成开工前的各项准备工作，若承包人未能按以上期限完成本协议约定工作，视为承包人违约，</w:t>
      </w:r>
      <w:r>
        <w:rPr>
          <w:rFonts w:hint="default" w:ascii="仿宋" w:hAnsi="仿宋" w:eastAsia="仿宋" w:cs="仿宋"/>
          <w:sz w:val="24"/>
          <w:szCs w:val="24"/>
          <w:u w:val="none"/>
          <w:lang w:val="en-US"/>
        </w:rPr>
        <w:t>业主</w:t>
      </w:r>
      <w:r>
        <w:rPr>
          <w:rFonts w:hint="eastAsia" w:ascii="仿宋" w:hAnsi="仿宋" w:eastAsia="仿宋" w:cs="仿宋"/>
          <w:sz w:val="24"/>
          <w:szCs w:val="24"/>
          <w:u w:val="none"/>
        </w:rPr>
        <w:t>有权终止合同，且造成的损失由承包人承担。</w:t>
      </w:r>
    </w:p>
    <w:p w14:paraId="3D2C3D1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三、安全保通方面</w:t>
      </w:r>
    </w:p>
    <w:p w14:paraId="49668004">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1．项目经理是安全生产的第一负责人。承包人要充分认识保通工作的重要意义，务必高度重视此路段保通工作的政治性、复杂性、艰巨性。施工中加强对过往车辆及沿线群众宣传教育，提高认识，并成立相应的组织机构。</w:t>
      </w:r>
    </w:p>
    <w:p w14:paraId="2C281009">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2．承包人按照合同及</w:t>
      </w:r>
      <w:r>
        <w:rPr>
          <w:rFonts w:hint="default" w:ascii="仿宋" w:hAnsi="仿宋" w:eastAsia="仿宋" w:cs="仿宋"/>
          <w:sz w:val="24"/>
          <w:szCs w:val="24"/>
          <w:u w:val="none"/>
          <w:lang w:val="en-US"/>
        </w:rPr>
        <w:t>业主</w:t>
      </w:r>
      <w:r>
        <w:rPr>
          <w:rFonts w:hint="eastAsia" w:ascii="仿宋" w:hAnsi="仿宋" w:eastAsia="仿宋" w:cs="仿宋"/>
          <w:sz w:val="24"/>
          <w:szCs w:val="24"/>
          <w:u w:val="none"/>
        </w:rPr>
        <w:t>的要求，制定施工保通方案及实施细则并进行人员、车辆、设备的调配，把因本项目实施造成的干扰降至最低，确保项目实施期间沿线企业、村民正常的生产生活秩序。</w:t>
      </w:r>
    </w:p>
    <w:p w14:paraId="10703E1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3．承包人在施工中做到安全生产、文明施工。在施工中要注意现场区域内供水、排水、供电、供热，地下管网、电缆、电视、通讯等设施安全，如需要变动及时协同有关部门妥善处理。施工中出现的一切安全事故及负面影响均由承包人负责处理。</w:t>
      </w:r>
    </w:p>
    <w:p w14:paraId="695F55B7">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4．承包人应主动搞好与当地村民和政府的协调工作，因施工产生的相关纠纷、补偿、赔偿由承包人负责协调解决并承担相应费用。</w:t>
      </w:r>
    </w:p>
    <w:p w14:paraId="0F4CDCF0">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5．承包人必须文明生产，做好生产、生活区的环境保护工作，严格按照在建工地八个百分之百进行作业，被上级部门和指挥部检查通报时按相应规定进行处罚。</w:t>
      </w:r>
    </w:p>
    <w:p w14:paraId="076B8F48">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四、承包人违约时，</w:t>
      </w:r>
      <w:r>
        <w:rPr>
          <w:rFonts w:hint="default" w:ascii="仿宋" w:hAnsi="仿宋" w:eastAsia="仿宋" w:cs="仿宋"/>
          <w:sz w:val="24"/>
          <w:szCs w:val="24"/>
          <w:u w:val="none"/>
          <w:lang w:val="en-US"/>
        </w:rPr>
        <w:t>业主</w:t>
      </w:r>
      <w:r>
        <w:rPr>
          <w:rFonts w:hint="eastAsia" w:ascii="仿宋" w:hAnsi="仿宋" w:eastAsia="仿宋" w:cs="仿宋"/>
          <w:sz w:val="24"/>
          <w:szCs w:val="24"/>
          <w:u w:val="none"/>
        </w:rPr>
        <w:t>有权分割未完成工程，材料单价将按照分割时郑州市建设工程造价管理办公室印发的《郑州市建设工程主要材格基准价格信息》执行，并按照中华人民共和国交通部发布的《公路工程建设项目概算预算编制办法》(JTG 3830—2018)及《公路工程概算定额》(JTG/T 3831-2018)/《公路工程预算定额》(JTG/T 3832-—2018)、《公路工程机械台班费用定额》(JTG/T 3833—2018)重新组价，确认被分割部分的工程单价重新组价后，其单价高出清单部分的差价从承包人已计量的工程款或履约保证金中支付。</w:t>
      </w:r>
    </w:p>
    <w:p w14:paraId="00D2716F">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五、承包人应认真执行廉政合同，不得拉拢、腐蚀、贿赂监理方人员和</w:t>
      </w:r>
      <w:r>
        <w:rPr>
          <w:rFonts w:hint="default" w:ascii="仿宋" w:hAnsi="仿宋" w:eastAsia="仿宋" w:cs="仿宋"/>
          <w:sz w:val="24"/>
          <w:szCs w:val="24"/>
          <w:u w:val="none"/>
          <w:lang w:val="en-US"/>
        </w:rPr>
        <w:t>业主</w:t>
      </w:r>
      <w:r>
        <w:rPr>
          <w:rFonts w:hint="eastAsia" w:ascii="仿宋" w:hAnsi="仿宋" w:eastAsia="仿宋" w:cs="仿宋"/>
          <w:sz w:val="24"/>
          <w:szCs w:val="24"/>
          <w:u w:val="none"/>
        </w:rPr>
        <w:t>管理人员，保证风清气正的施工环境。</w:t>
      </w:r>
    </w:p>
    <w:p w14:paraId="28E1A372">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200"/>
        <w:jc w:val="left"/>
        <w:textAlignment w:val="auto"/>
        <w:rPr>
          <w:rFonts w:hint="eastAsia" w:ascii="仿宋" w:hAnsi="仿宋" w:eastAsia="仿宋" w:cs="仿宋"/>
          <w:sz w:val="24"/>
          <w:szCs w:val="24"/>
          <w:u w:val="none"/>
        </w:rPr>
      </w:pPr>
      <w:r>
        <w:rPr>
          <w:rFonts w:hint="eastAsia" w:ascii="仿宋" w:hAnsi="仿宋" w:eastAsia="仿宋" w:cs="仿宋"/>
          <w:sz w:val="24"/>
          <w:szCs w:val="24"/>
          <w:u w:val="none"/>
        </w:rPr>
        <w:t>六、本合同一式 陆 份，合同双方各执 叁 份。</w:t>
      </w:r>
    </w:p>
    <w:tbl>
      <w:tblPr>
        <w:tblStyle w:val="27"/>
        <w:tblpPr w:leftFromText="180" w:rightFromText="180" w:vertAnchor="text" w:horzAnchor="margin" w:tblpXSpec="right" w:tblpY="603"/>
        <w:tblW w:w="0" w:type="auto"/>
        <w:tblInd w:w="0" w:type="dxa"/>
        <w:tblLayout w:type="fixed"/>
        <w:tblCellMar>
          <w:top w:w="0" w:type="dxa"/>
          <w:left w:w="108" w:type="dxa"/>
          <w:bottom w:w="0" w:type="dxa"/>
          <w:right w:w="108" w:type="dxa"/>
        </w:tblCellMar>
      </w:tblPr>
      <w:tblGrid>
        <w:gridCol w:w="4800"/>
        <w:gridCol w:w="4633"/>
      </w:tblGrid>
      <w:tr w14:paraId="1CD5BB49">
        <w:tblPrEx>
          <w:tblCellMar>
            <w:top w:w="0" w:type="dxa"/>
            <w:left w:w="108" w:type="dxa"/>
            <w:bottom w:w="0" w:type="dxa"/>
            <w:right w:w="108" w:type="dxa"/>
          </w:tblCellMar>
        </w:tblPrEx>
        <w:trPr>
          <w:trHeight w:val="2745" w:hRule="atLeast"/>
        </w:trPr>
        <w:tc>
          <w:tcPr>
            <w:tcW w:w="4800" w:type="dxa"/>
            <w:noWrap w:val="0"/>
            <w:vAlign w:val="top"/>
          </w:tcPr>
          <w:p w14:paraId="354D9493">
            <w:pPr>
              <w:spacing w:line="600" w:lineRule="exact"/>
              <w:rPr>
                <w:rFonts w:hint="eastAsia" w:ascii="仿宋" w:hAnsi="仿宋" w:eastAsia="仿宋" w:cs="仿宋"/>
                <w:sz w:val="24"/>
                <w:szCs w:val="24"/>
              </w:rPr>
            </w:pPr>
            <w:r>
              <w:rPr>
                <w:rFonts w:hint="eastAsia" w:ascii="仿宋" w:hAnsi="仿宋" w:eastAsia="仿宋" w:cs="仿宋"/>
                <w:sz w:val="24"/>
                <w:szCs w:val="24"/>
              </w:rPr>
              <w:t>发 包 人：</w:t>
            </w:r>
            <w:r>
              <w:rPr>
                <w:rFonts w:hint="eastAsia" w:ascii="仿宋" w:hAnsi="仿宋" w:eastAsia="仿宋" w:cs="仿宋"/>
                <w:sz w:val="24"/>
                <w:szCs w:val="24"/>
                <w:u w:val="single"/>
              </w:rPr>
              <w:t xml:space="preserve"> 荥阳市交通运输局                       </w:t>
            </w:r>
            <w:r>
              <w:rPr>
                <w:rFonts w:hint="eastAsia" w:ascii="仿宋" w:hAnsi="仿宋" w:eastAsia="仿宋" w:cs="仿宋"/>
                <w:sz w:val="24"/>
                <w:szCs w:val="24"/>
              </w:rPr>
              <w:t>法定代表人或</w:t>
            </w:r>
          </w:p>
          <w:p w14:paraId="36653B0F">
            <w:pPr>
              <w:spacing w:line="600" w:lineRule="exact"/>
              <w:jc w:val="left"/>
              <w:rPr>
                <w:rFonts w:hint="eastAsia" w:ascii="仿宋" w:hAnsi="仿宋" w:eastAsia="仿宋" w:cs="仿宋"/>
                <w:sz w:val="24"/>
                <w:szCs w:val="24"/>
                <w:u w:val="single"/>
              </w:rPr>
            </w:pPr>
            <w:r>
              <w:rPr>
                <w:rFonts w:hint="eastAsia" w:ascii="仿宋" w:hAnsi="仿宋" w:eastAsia="仿宋" w:cs="仿宋"/>
                <w:sz w:val="24"/>
                <w:szCs w:val="24"/>
              </w:rPr>
              <w:t>其授权的代理人：</w:t>
            </w:r>
            <w:r>
              <w:rPr>
                <w:rFonts w:hint="eastAsia" w:ascii="仿宋" w:hAnsi="仿宋" w:eastAsia="仿宋" w:cs="仿宋"/>
                <w:sz w:val="24"/>
                <w:szCs w:val="24"/>
                <w:u w:val="single"/>
              </w:rPr>
              <w:t xml:space="preserve">                     </w:t>
            </w: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c>
          <w:tcPr>
            <w:tcW w:w="4633" w:type="dxa"/>
            <w:noWrap w:val="0"/>
            <w:vAlign w:val="top"/>
          </w:tcPr>
          <w:p w14:paraId="7A6303AD">
            <w:pPr>
              <w:spacing w:line="600" w:lineRule="exact"/>
              <w:rPr>
                <w:rFonts w:hint="eastAsia" w:ascii="仿宋" w:hAnsi="仿宋" w:eastAsia="仿宋" w:cs="仿宋"/>
                <w:sz w:val="24"/>
                <w:szCs w:val="24"/>
                <w:u w:val="single"/>
              </w:rPr>
            </w:pPr>
            <w:r>
              <w:rPr>
                <w:rFonts w:hint="eastAsia" w:ascii="仿宋" w:hAnsi="仿宋" w:eastAsia="仿宋" w:cs="仿宋"/>
                <w:sz w:val="24"/>
                <w:szCs w:val="24"/>
              </w:rPr>
              <w:t>承包人：</w:t>
            </w:r>
            <w:r>
              <w:rPr>
                <w:rFonts w:hint="eastAsia" w:ascii="仿宋" w:hAnsi="仿宋" w:eastAsia="仿宋" w:cs="仿宋"/>
                <w:sz w:val="24"/>
                <w:szCs w:val="24"/>
                <w:u w:val="single"/>
              </w:rPr>
              <w:t xml:space="preserve">                       </w:t>
            </w:r>
          </w:p>
          <w:p w14:paraId="48252126">
            <w:pPr>
              <w:spacing w:line="600" w:lineRule="exact"/>
              <w:rPr>
                <w:rFonts w:hint="eastAsia" w:ascii="仿宋" w:hAnsi="仿宋" w:eastAsia="仿宋" w:cs="仿宋"/>
                <w:sz w:val="24"/>
                <w:szCs w:val="24"/>
              </w:rPr>
            </w:pPr>
            <w:r>
              <w:rPr>
                <w:rFonts w:hint="eastAsia" w:ascii="仿宋" w:hAnsi="仿宋" w:eastAsia="仿宋" w:cs="仿宋"/>
                <w:sz w:val="24"/>
                <w:szCs w:val="24"/>
              </w:rPr>
              <w:t>法定代表人或</w:t>
            </w:r>
          </w:p>
          <w:p w14:paraId="1B957FB5">
            <w:pPr>
              <w:spacing w:line="600" w:lineRule="exact"/>
              <w:rPr>
                <w:rFonts w:hint="eastAsia" w:ascii="仿宋" w:hAnsi="仿宋" w:eastAsia="仿宋" w:cs="仿宋"/>
                <w:sz w:val="24"/>
                <w:szCs w:val="24"/>
                <w:u w:val="single"/>
              </w:rPr>
            </w:pPr>
            <w:r>
              <w:rPr>
                <w:rFonts w:hint="eastAsia" w:ascii="仿宋" w:hAnsi="仿宋" w:eastAsia="仿宋" w:cs="仿宋"/>
                <w:sz w:val="24"/>
                <w:szCs w:val="24"/>
              </w:rPr>
              <w:t>其授权的代理人：</w:t>
            </w:r>
            <w:r>
              <w:rPr>
                <w:rFonts w:hint="eastAsia" w:ascii="仿宋" w:hAnsi="仿宋" w:eastAsia="仿宋" w:cs="仿宋"/>
                <w:sz w:val="24"/>
                <w:szCs w:val="24"/>
                <w:u w:val="single"/>
              </w:rPr>
              <w:t xml:space="preserve">                      </w:t>
            </w:r>
          </w:p>
          <w:p w14:paraId="4893E914">
            <w:pPr>
              <w:spacing w:line="600" w:lineRule="exact"/>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r>
    </w:tbl>
    <w:p w14:paraId="7246B5E8">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7A164D8D">
      <w:pPr>
        <w:spacing w:line="360" w:lineRule="auto"/>
        <w:rPr>
          <w:rFonts w:hint="eastAsia" w:ascii="仿宋" w:hAnsi="仿宋" w:eastAsia="仿宋" w:cs="仿宋"/>
          <w:sz w:val="24"/>
          <w:szCs w:val="24"/>
        </w:rPr>
      </w:pPr>
    </w:p>
    <w:bookmarkEnd w:id="554"/>
    <w:bookmarkEnd w:id="555"/>
    <w:p w14:paraId="578118C5">
      <w:pPr>
        <w:rPr>
          <w:rFonts w:hint="eastAsia" w:ascii="仿宋" w:hAnsi="仿宋" w:eastAsia="仿宋" w:cs="仿宋"/>
          <w:b/>
          <w:bCs/>
          <w:sz w:val="32"/>
          <w:szCs w:val="32"/>
        </w:rPr>
      </w:pPr>
      <w:bookmarkStart w:id="557" w:name="_Toc6755"/>
      <w:bookmarkStart w:id="558" w:name="_Toc18324"/>
      <w:bookmarkStart w:id="559" w:name="_Toc25360"/>
      <w:bookmarkStart w:id="560" w:name="_Toc22312"/>
      <w:bookmarkStart w:id="561" w:name="_Toc525741713"/>
      <w:bookmarkStart w:id="562" w:name="_Toc525897773"/>
      <w:r>
        <w:rPr>
          <w:rFonts w:hint="eastAsia" w:ascii="仿宋" w:hAnsi="仿宋" w:eastAsia="仿宋" w:cs="仿宋"/>
          <w:b/>
          <w:bCs/>
          <w:sz w:val="32"/>
          <w:szCs w:val="32"/>
        </w:rPr>
        <w:br w:type="page"/>
      </w:r>
    </w:p>
    <w:p w14:paraId="3F09A4C4">
      <w:pPr>
        <w:jc w:val="center"/>
        <w:rPr>
          <w:rFonts w:hint="eastAsia" w:ascii="仿宋" w:hAnsi="仿宋" w:eastAsia="仿宋" w:cs="仿宋"/>
          <w:sz w:val="44"/>
          <w:szCs w:val="44"/>
        </w:rPr>
      </w:pPr>
      <w:r>
        <w:rPr>
          <w:rFonts w:hint="eastAsia" w:ascii="仿宋" w:hAnsi="仿宋" w:eastAsia="仿宋" w:cs="仿宋"/>
          <w:b/>
          <w:bCs/>
          <w:sz w:val="32"/>
          <w:szCs w:val="32"/>
        </w:rPr>
        <w:t>廉政合同</w:t>
      </w:r>
      <w:bookmarkEnd w:id="557"/>
      <w:bookmarkEnd w:id="558"/>
      <w:bookmarkEnd w:id="559"/>
      <w:bookmarkEnd w:id="560"/>
    </w:p>
    <w:p w14:paraId="4DE6F4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（项目名称）项目法人 </w:t>
      </w:r>
      <w:r>
        <w:rPr>
          <w:rFonts w:hint="eastAsia" w:ascii="仿宋" w:hAnsi="仿宋" w:eastAsia="仿宋" w:cs="仿宋"/>
          <w:sz w:val="24"/>
          <w:szCs w:val="24"/>
          <w:u w:val="single"/>
        </w:rPr>
        <w:t xml:space="preserve"> 荥阳市交通运输局 </w:t>
      </w:r>
      <w:r>
        <w:rPr>
          <w:rFonts w:hint="eastAsia" w:ascii="仿宋" w:hAnsi="仿宋" w:eastAsia="仿宋" w:cs="仿宋"/>
          <w:sz w:val="24"/>
          <w:szCs w:val="24"/>
        </w:rPr>
        <w:t>（项目法人名称，以下简称“发包人”）与该项目的施工单位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（施工单位名称，以下简称“承包人”），特订立如下合同。</w:t>
      </w:r>
    </w:p>
    <w:p w14:paraId="516C5C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1．发包人和承包人双方的权利和义务</w:t>
      </w:r>
    </w:p>
    <w:p w14:paraId="368995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（1）严格遵守党的政策规定和国家有关法律法规及交通运输部的有关规定。</w:t>
      </w:r>
    </w:p>
    <w:p w14:paraId="26E528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（2）严格执行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（项目名称）施工合同文件，自觉按合同办事。</w:t>
      </w:r>
    </w:p>
    <w:p w14:paraId="46B5BC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（3）双方的业务活动坚持公开、公正、诚信、透明的原则（法律认定的商业秘密和合同文件另有规定除外），不得损害国家和集体利益，不得违反工程建设管理规章制度。</w:t>
      </w:r>
    </w:p>
    <w:p w14:paraId="01BA84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（4）建立健全廉政制度，开展廉政教育，设立廉政告示牌，公布举报电话，监督并认真查处违法违纪行为。</w:t>
      </w:r>
    </w:p>
    <w:p w14:paraId="6505EF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（5）发现对方在业务活动中有违反廉政规定的行为，有及时提醒对方纠正的权利和义务。</w:t>
      </w:r>
    </w:p>
    <w:p w14:paraId="14F6C3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（6）发现对方严重违反本合同义务条款的行为，有向其上级有关部门举报、建议给予处理并要求告知处理结果的权利。</w:t>
      </w:r>
    </w:p>
    <w:p w14:paraId="177D50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2．发包人的义务</w:t>
      </w:r>
    </w:p>
    <w:p w14:paraId="7F31AA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（1）发包人及其工作人员不得索要或接受承包人的礼金、有价证券和贵重物品，不得让承包人报销任何应由发包人或发包人工作人员个人支付的费用等。</w:t>
      </w:r>
    </w:p>
    <w:p w14:paraId="3097DC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（2）发包人及其工作人员不得参加承包人安排的超标准宴请和娱乐活动；不得接受承包人提供的通讯工具、交通工具和高档办公用品等。</w:t>
      </w:r>
    </w:p>
    <w:p w14:paraId="1F88F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（3）发包人及其工作人员不利要求或者接受承包人为其住房装修、婚丧嫁娶活动、配偶子女的工作安排以及出国出境、旅游等提供方便等。</w:t>
      </w:r>
    </w:p>
    <w:p w14:paraId="217EF1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（4）发包人及其工作人员及其配偶、子女不得从事与发包人工作有关的材料设备供应、工程分包、劳务等经济活动等。</w:t>
      </w:r>
    </w:p>
    <w:p w14:paraId="4C08A5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（5）发包人</w:t>
      </w:r>
      <w:r>
        <w:rPr>
          <w:rFonts w:hint="eastAsia" w:ascii="仿宋" w:hAnsi="仿宋" w:eastAsia="仿宋" w:cs="仿宋"/>
          <w:color w:val="000000"/>
          <w:sz w:val="24"/>
          <w:szCs w:val="24"/>
        </w:rPr>
        <w:t>及其工作人</w:t>
      </w:r>
      <w:r>
        <w:rPr>
          <w:rFonts w:hint="eastAsia" w:ascii="仿宋" w:hAnsi="仿宋" w:eastAsia="仿宋" w:cs="仿宋"/>
          <w:sz w:val="24"/>
          <w:szCs w:val="24"/>
        </w:rPr>
        <w:t>员不得以任何理由向承包人推荐分包单位或推销材料，不得要求承包人购买合同规定外的材料和设备。</w:t>
      </w:r>
    </w:p>
    <w:p w14:paraId="66798E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（6）发包人及其工作人员要秉公办事，不准营私舞弊，不准利用职权从事各种个人有偿中介活动和安排个人施工队伍。</w:t>
      </w:r>
    </w:p>
    <w:p w14:paraId="4739D2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3．承包人的义务</w:t>
      </w:r>
    </w:p>
    <w:p w14:paraId="73BABE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（1）承包人不得以任何理由向发包人及其工作人员行贿或馈赠礼金、有价证券、贵重礼品。</w:t>
      </w:r>
    </w:p>
    <w:p w14:paraId="4B28CE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（2）承包人不得以任何名义为发包人及其工作人员报销应由发包人单位或个人支付的任何费用。</w:t>
      </w:r>
    </w:p>
    <w:p w14:paraId="535746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（3）承包人不得以任何理由安排发包人及其工作人员参加超标准宴请及娱乐活动。</w:t>
      </w:r>
    </w:p>
    <w:p w14:paraId="7AD1F6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（4）承包人不得为发包人单位和个人购置或提供通讯工具、交通工具和高档办公用品等。</w:t>
      </w:r>
    </w:p>
    <w:p w14:paraId="761000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4．违约责任</w:t>
      </w:r>
    </w:p>
    <w:p w14:paraId="6C33E5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（1）发包人及其工作人员违反本合同第1、2条，按管理权限，依据有关规定给予党纪、政纪或组织处理；涉嫌犯罪的，移交司法机关追究刑事责任；给承包人单位造成经济损失的，应予以赔偿。</w:t>
      </w:r>
    </w:p>
    <w:p w14:paraId="6E49BA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187028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0AF12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6.本合同有效期为发包人和承包人签署之日起至该工程项目竣工验收后止。</w:t>
      </w:r>
    </w:p>
    <w:p w14:paraId="358B0E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7．本合同作为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（项目名称）施工合同的附件，与工程施工合同具有同等的法律效力，经合同双方</w:t>
      </w:r>
      <w:r>
        <w:rPr>
          <w:rFonts w:hint="eastAsia" w:ascii="仿宋" w:hAnsi="仿宋" w:eastAsia="仿宋" w:cs="仿宋"/>
          <w:color w:val="000000"/>
          <w:sz w:val="24"/>
          <w:szCs w:val="24"/>
        </w:rPr>
        <w:t>签署盖章后</w:t>
      </w:r>
      <w:r>
        <w:rPr>
          <w:rFonts w:hint="eastAsia" w:ascii="仿宋" w:hAnsi="仿宋" w:eastAsia="仿宋" w:cs="仿宋"/>
          <w:sz w:val="24"/>
          <w:szCs w:val="24"/>
        </w:rPr>
        <w:t>立即生效。</w:t>
      </w:r>
    </w:p>
    <w:p w14:paraId="733AE6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8．本合同一式</w:t>
      </w:r>
      <w:r>
        <w:rPr>
          <w:rFonts w:hint="eastAsia" w:ascii="仿宋" w:hAnsi="仿宋" w:eastAsia="仿宋" w:cs="仿宋"/>
          <w:sz w:val="24"/>
          <w:szCs w:val="24"/>
          <w:u w:val="single"/>
        </w:rPr>
        <w:t xml:space="preserve"> 陆 </w:t>
      </w:r>
      <w:r>
        <w:rPr>
          <w:rFonts w:hint="eastAsia" w:ascii="仿宋" w:hAnsi="仿宋" w:eastAsia="仿宋" w:cs="仿宋"/>
          <w:sz w:val="24"/>
          <w:szCs w:val="24"/>
        </w:rPr>
        <w:t>份，由发包人和承包人各执</w:t>
      </w:r>
      <w:r>
        <w:rPr>
          <w:rFonts w:hint="eastAsia" w:ascii="仿宋" w:hAnsi="仿宋" w:eastAsia="仿宋" w:cs="仿宋"/>
          <w:sz w:val="24"/>
          <w:szCs w:val="24"/>
          <w:u w:val="single"/>
        </w:rPr>
        <w:t xml:space="preserve"> 贰 </w:t>
      </w:r>
      <w:r>
        <w:rPr>
          <w:rFonts w:hint="eastAsia" w:ascii="仿宋" w:hAnsi="仿宋" w:eastAsia="仿宋" w:cs="仿宋"/>
          <w:sz w:val="24"/>
          <w:szCs w:val="24"/>
        </w:rPr>
        <w:t>份，送交发包人和承包人的监督单位各</w:t>
      </w:r>
      <w:r>
        <w:rPr>
          <w:rFonts w:hint="eastAsia" w:ascii="仿宋" w:hAnsi="仿宋" w:eastAsia="仿宋" w:cs="仿宋"/>
          <w:sz w:val="24"/>
          <w:szCs w:val="24"/>
          <w:u w:val="single"/>
        </w:rPr>
        <w:t xml:space="preserve"> 壹 </w:t>
      </w:r>
      <w:r>
        <w:rPr>
          <w:rFonts w:hint="eastAsia" w:ascii="仿宋" w:hAnsi="仿宋" w:eastAsia="仿宋" w:cs="仿宋"/>
          <w:sz w:val="24"/>
          <w:szCs w:val="24"/>
        </w:rPr>
        <w:t>份。</w:t>
      </w:r>
    </w:p>
    <w:p w14:paraId="37D041E6">
      <w:pPr>
        <w:spacing w:line="360" w:lineRule="auto"/>
        <w:rPr>
          <w:rFonts w:hint="eastAsia" w:ascii="仿宋" w:hAnsi="仿宋" w:eastAsia="仿宋" w:cs="仿宋"/>
          <w:sz w:val="24"/>
          <w:szCs w:val="24"/>
        </w:rPr>
      </w:pPr>
    </w:p>
    <w:p w14:paraId="7D610E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荥阳市交通运输局 </w:t>
      </w:r>
      <w:r>
        <w:rPr>
          <w:rFonts w:hint="eastAsia" w:ascii="仿宋" w:hAnsi="仿宋" w:eastAsia="仿宋" w:cs="仿宋"/>
          <w:sz w:val="24"/>
          <w:szCs w:val="24"/>
        </w:rPr>
        <w:t xml:space="preserve">       承包人：</w:t>
      </w:r>
      <w:r>
        <w:rPr>
          <w:rFonts w:hint="eastAsia" w:ascii="仿宋" w:hAnsi="仿宋" w:eastAsia="仿宋" w:cs="仿宋"/>
          <w:sz w:val="24"/>
          <w:szCs w:val="24"/>
          <w:u w:val="single"/>
        </w:rPr>
        <w:t xml:space="preserve">                </w:t>
      </w:r>
    </w:p>
    <w:p w14:paraId="09521782">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仿宋" w:hAnsi="仿宋" w:eastAsia="仿宋" w:cs="仿宋"/>
          <w:sz w:val="24"/>
          <w:szCs w:val="24"/>
        </w:rPr>
      </w:pPr>
      <w:r>
        <w:rPr>
          <w:rFonts w:hint="eastAsia" w:ascii="仿宋" w:hAnsi="仿宋" w:eastAsia="仿宋" w:cs="仿宋"/>
          <w:sz w:val="24"/>
          <w:szCs w:val="24"/>
        </w:rPr>
        <w:t xml:space="preserve">（盖单位章）                       （盖单位章） </w:t>
      </w:r>
    </w:p>
    <w:p w14:paraId="14B208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法定代表人或                     法定代表人或</w:t>
      </w:r>
    </w:p>
    <w:p w14:paraId="08E690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其委托代理人： </w:t>
      </w:r>
      <w:r>
        <w:rPr>
          <w:rFonts w:hint="eastAsia" w:ascii="仿宋" w:hAnsi="仿宋" w:eastAsia="仿宋" w:cs="仿宋"/>
          <w:sz w:val="24"/>
          <w:szCs w:val="24"/>
          <w:u w:val="single"/>
        </w:rPr>
        <w:t xml:space="preserve">         </w:t>
      </w:r>
    </w:p>
    <w:p w14:paraId="61D108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628AC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委托</w:t>
      </w:r>
      <w:r>
        <w:rPr>
          <w:rFonts w:hint="eastAsia" w:ascii="仿宋" w:hAnsi="仿宋" w:eastAsia="仿宋" w:cs="仿宋"/>
          <w:spacing w:val="-3"/>
          <w:sz w:val="24"/>
          <w:szCs w:val="24"/>
        </w:rPr>
        <w:t>人</w:t>
      </w:r>
      <w:r>
        <w:rPr>
          <w:rFonts w:hint="eastAsia" w:ascii="仿宋" w:hAnsi="仿宋" w:eastAsia="仿宋" w:cs="仿宋"/>
          <w:sz w:val="24"/>
          <w:szCs w:val="24"/>
        </w:rPr>
        <w:t>监</w:t>
      </w:r>
      <w:r>
        <w:rPr>
          <w:rFonts w:hint="eastAsia" w:ascii="仿宋" w:hAnsi="仿宋" w:eastAsia="仿宋" w:cs="仿宋"/>
          <w:spacing w:val="-3"/>
          <w:sz w:val="24"/>
          <w:szCs w:val="24"/>
        </w:rPr>
        <w:t>督</w:t>
      </w:r>
      <w:r>
        <w:rPr>
          <w:rFonts w:hint="eastAsia" w:ascii="仿宋" w:hAnsi="仿宋" w:eastAsia="仿宋" w:cs="仿宋"/>
          <w:sz w:val="24"/>
          <w:szCs w:val="24"/>
        </w:rPr>
        <w:t>单位：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监理</w:t>
      </w:r>
      <w:r>
        <w:rPr>
          <w:rFonts w:hint="eastAsia" w:ascii="仿宋" w:hAnsi="仿宋" w:eastAsia="仿宋" w:cs="仿宋"/>
          <w:spacing w:val="-3"/>
          <w:sz w:val="24"/>
          <w:szCs w:val="24"/>
        </w:rPr>
        <w:t>人</w:t>
      </w:r>
      <w:r>
        <w:rPr>
          <w:rFonts w:hint="eastAsia" w:ascii="仿宋" w:hAnsi="仿宋" w:eastAsia="仿宋" w:cs="仿宋"/>
          <w:sz w:val="24"/>
          <w:szCs w:val="24"/>
        </w:rPr>
        <w:t>监</w:t>
      </w:r>
      <w:r>
        <w:rPr>
          <w:rFonts w:hint="eastAsia" w:ascii="仿宋" w:hAnsi="仿宋" w:eastAsia="仿宋" w:cs="仿宋"/>
          <w:spacing w:val="-3"/>
          <w:sz w:val="24"/>
          <w:szCs w:val="24"/>
        </w:rPr>
        <w:t>督</w:t>
      </w:r>
      <w:r>
        <w:rPr>
          <w:rFonts w:hint="eastAsia" w:ascii="仿宋" w:hAnsi="仿宋" w:eastAsia="仿宋" w:cs="仿宋"/>
          <w:sz w:val="24"/>
          <w:szCs w:val="24"/>
        </w:rPr>
        <w:t>单</w:t>
      </w:r>
      <w:r>
        <w:rPr>
          <w:rFonts w:hint="eastAsia" w:ascii="仿宋" w:hAnsi="仿宋" w:eastAsia="仿宋" w:cs="仿宋"/>
          <w:spacing w:val="-3"/>
          <w:sz w:val="24"/>
          <w:szCs w:val="24"/>
        </w:rPr>
        <w:t>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64521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rPr>
      </w:pPr>
      <w:r>
        <w:rPr>
          <w:rFonts w:hint="eastAsia" w:ascii="仿宋" w:hAnsi="仿宋" w:eastAsia="仿宋" w:cs="仿宋"/>
          <w:sz w:val="24"/>
          <w:szCs w:val="24"/>
        </w:rPr>
        <w:t>(全</w:t>
      </w:r>
      <w:r>
        <w:rPr>
          <w:rFonts w:hint="eastAsia" w:ascii="仿宋" w:hAnsi="仿宋" w:eastAsia="仿宋" w:cs="仿宋"/>
          <w:spacing w:val="-3"/>
          <w:sz w:val="24"/>
          <w:szCs w:val="24"/>
        </w:rPr>
        <w:t>称</w:t>
      </w:r>
      <w:r>
        <w:rPr>
          <w:rFonts w:hint="eastAsia" w:ascii="仿宋" w:hAnsi="仿宋" w:eastAsia="仿宋" w:cs="仿宋"/>
          <w:sz w:val="24"/>
          <w:szCs w:val="24"/>
        </w:rPr>
        <w:t>）</w:t>
      </w:r>
      <w:r>
        <w:rPr>
          <w:rFonts w:hint="eastAsia" w:ascii="仿宋" w:hAnsi="仿宋" w:eastAsia="仿宋" w:cs="仿宋"/>
          <w:spacing w:val="5"/>
          <w:sz w:val="24"/>
          <w:szCs w:val="24"/>
        </w:rPr>
        <w:t xml:space="preserve"> </w:t>
      </w:r>
      <w:r>
        <w:rPr>
          <w:rFonts w:hint="eastAsia" w:ascii="仿宋" w:hAnsi="仿宋" w:eastAsia="仿宋" w:cs="仿宋"/>
          <w:sz w:val="24"/>
          <w:szCs w:val="24"/>
        </w:rPr>
        <w:t>(</w:t>
      </w:r>
      <w:r>
        <w:rPr>
          <w:rFonts w:hint="eastAsia" w:ascii="仿宋" w:hAnsi="仿宋" w:eastAsia="仿宋" w:cs="仿宋"/>
          <w:spacing w:val="-3"/>
          <w:sz w:val="24"/>
          <w:szCs w:val="24"/>
        </w:rPr>
        <w:t>盖</w:t>
      </w:r>
      <w:r>
        <w:rPr>
          <w:rFonts w:hint="eastAsia" w:ascii="仿宋" w:hAnsi="仿宋" w:eastAsia="仿宋" w:cs="仿宋"/>
          <w:sz w:val="24"/>
          <w:szCs w:val="24"/>
        </w:rPr>
        <w:t>单</w:t>
      </w:r>
      <w:r>
        <w:rPr>
          <w:rFonts w:hint="eastAsia" w:ascii="仿宋" w:hAnsi="仿宋" w:eastAsia="仿宋" w:cs="仿宋"/>
          <w:spacing w:val="-3"/>
          <w:sz w:val="24"/>
          <w:szCs w:val="24"/>
        </w:rPr>
        <w:t>位</w:t>
      </w:r>
      <w:r>
        <w:rPr>
          <w:rFonts w:hint="eastAsia" w:ascii="仿宋" w:hAnsi="仿宋" w:eastAsia="仿宋" w:cs="仿宋"/>
          <w:sz w:val="24"/>
          <w:szCs w:val="24"/>
        </w:rPr>
        <w:t>章）</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pacing w:val="-3"/>
          <w:sz w:val="24"/>
          <w:szCs w:val="24"/>
        </w:rPr>
        <w:t>全称</w:t>
      </w:r>
      <w:r>
        <w:rPr>
          <w:rFonts w:hint="eastAsia" w:ascii="仿宋" w:hAnsi="仿宋" w:eastAsia="仿宋" w:cs="仿宋"/>
          <w:sz w:val="24"/>
          <w:szCs w:val="24"/>
        </w:rPr>
        <w:t>）(</w:t>
      </w:r>
      <w:r>
        <w:rPr>
          <w:rFonts w:hint="eastAsia" w:ascii="仿宋" w:hAnsi="仿宋" w:eastAsia="仿宋" w:cs="仿宋"/>
          <w:spacing w:val="-3"/>
          <w:sz w:val="24"/>
          <w:szCs w:val="24"/>
        </w:rPr>
        <w:t>盖</w:t>
      </w:r>
      <w:r>
        <w:rPr>
          <w:rFonts w:hint="eastAsia" w:ascii="仿宋" w:hAnsi="仿宋" w:eastAsia="仿宋" w:cs="仿宋"/>
          <w:sz w:val="24"/>
          <w:szCs w:val="24"/>
        </w:rPr>
        <w:t>单</w:t>
      </w:r>
      <w:r>
        <w:rPr>
          <w:rFonts w:hint="eastAsia" w:ascii="仿宋" w:hAnsi="仿宋" w:eastAsia="仿宋" w:cs="仿宋"/>
          <w:spacing w:val="-3"/>
          <w:sz w:val="24"/>
          <w:szCs w:val="24"/>
        </w:rPr>
        <w:t>位</w:t>
      </w:r>
      <w:r>
        <w:rPr>
          <w:rFonts w:hint="eastAsia" w:ascii="仿宋" w:hAnsi="仿宋" w:eastAsia="仿宋" w:cs="仿宋"/>
          <w:sz w:val="24"/>
          <w:szCs w:val="24"/>
        </w:rPr>
        <w:t>章）</w:t>
      </w:r>
      <w:bookmarkEnd w:id="561"/>
      <w:bookmarkEnd w:id="562"/>
      <w:bookmarkStart w:id="563" w:name="_Toc28893"/>
      <w:bookmarkStart w:id="564" w:name="_Toc14607"/>
      <w:bookmarkStart w:id="565" w:name="_Toc13638"/>
    </w:p>
    <w:p w14:paraId="7A0A4E38">
      <w:pPr>
        <w:rPr>
          <w:rFonts w:hint="eastAsia" w:ascii="仿宋" w:hAnsi="仿宋" w:eastAsia="仿宋" w:cs="仿宋"/>
          <w:b/>
          <w:bCs/>
          <w:sz w:val="32"/>
          <w:szCs w:val="32"/>
        </w:rPr>
      </w:pPr>
      <w:bookmarkStart w:id="566" w:name="_Toc24229"/>
      <w:r>
        <w:rPr>
          <w:rFonts w:hint="eastAsia" w:ascii="仿宋" w:hAnsi="仿宋" w:eastAsia="仿宋" w:cs="仿宋"/>
          <w:b/>
          <w:bCs/>
          <w:sz w:val="32"/>
          <w:szCs w:val="32"/>
        </w:rPr>
        <w:br w:type="page"/>
      </w:r>
    </w:p>
    <w:p w14:paraId="339A054C">
      <w:pPr>
        <w:jc w:val="center"/>
        <w:rPr>
          <w:rFonts w:hint="eastAsia" w:ascii="仿宋" w:hAnsi="仿宋" w:eastAsia="仿宋" w:cs="仿宋"/>
          <w:b/>
          <w:sz w:val="44"/>
          <w:szCs w:val="44"/>
        </w:rPr>
      </w:pPr>
      <w:r>
        <w:rPr>
          <w:rFonts w:hint="eastAsia" w:ascii="仿宋" w:hAnsi="仿宋" w:eastAsia="仿宋" w:cs="仿宋"/>
          <w:b/>
          <w:bCs/>
          <w:sz w:val="32"/>
          <w:szCs w:val="32"/>
        </w:rPr>
        <w:t>安全生产合同</w:t>
      </w:r>
      <w:bookmarkEnd w:id="563"/>
      <w:bookmarkEnd w:id="564"/>
      <w:bookmarkEnd w:id="565"/>
      <w:bookmarkEnd w:id="566"/>
    </w:p>
    <w:p w14:paraId="77B502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为在</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（标段）施工合同的实施过程中创造安全、高效的施工环境，切实搞好本项目的安全管理工作，本项目发包人</w:t>
      </w:r>
      <w:r>
        <w:rPr>
          <w:rFonts w:hint="eastAsia" w:ascii="仿宋" w:hAnsi="仿宋" w:eastAsia="仿宋" w:cs="仿宋"/>
          <w:sz w:val="24"/>
          <w:szCs w:val="24"/>
          <w:u w:val="single"/>
        </w:rPr>
        <w:t xml:space="preserve">荥阳市交通运输局 </w:t>
      </w:r>
      <w:r>
        <w:rPr>
          <w:rFonts w:hint="eastAsia" w:ascii="仿宋" w:hAnsi="仿宋" w:eastAsia="仿宋" w:cs="仿宋"/>
          <w:sz w:val="24"/>
          <w:szCs w:val="24"/>
        </w:rPr>
        <w:t>（发包人名称，以下简称“发包人”）与承包人</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（承包人名称，以下简称“承包人”）特此签订安全生产合同：</w:t>
      </w:r>
    </w:p>
    <w:p w14:paraId="0FD735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1、发包人职责</w:t>
      </w:r>
    </w:p>
    <w:p w14:paraId="1CA28F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（1）严格遵守国家有关安全生产的法律法规，认真执行工程承包合同中的有关安全要求。</w:t>
      </w:r>
    </w:p>
    <w:p w14:paraId="0F217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（2）按照“安全第一、预防为主”和坚持“管生产必须管安全”的原则进行安全生产管理，做到生产与安全工作同时计划、布置、检查、总结和评比。</w:t>
      </w:r>
    </w:p>
    <w:p w14:paraId="104F48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（3）重要的安全设施必须坚持与主体工程“三同时”的原则，即：同时设计、审批，同时施工，同时验收，投入使用。</w:t>
      </w:r>
    </w:p>
    <w:p w14:paraId="47DADE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（4）定期召开安全生产调度会，及时传达中央及地方有关安全生产的精神。</w:t>
      </w:r>
    </w:p>
    <w:p w14:paraId="41CB23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（5）组织对承包人施工现场安全生产检查，监督承包人及时处理发现的各种安全隐患。</w:t>
      </w:r>
    </w:p>
    <w:p w14:paraId="3DDCD8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2、承包人职责</w:t>
      </w:r>
    </w:p>
    <w:p w14:paraId="6240E1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w:t>
      </w:r>
      <w:r>
        <w:rPr>
          <w:rFonts w:hint="eastAsia" w:ascii="仿宋" w:hAnsi="仿宋" w:eastAsia="仿宋" w:cs="仿宋"/>
          <w:color w:val="0000FF"/>
          <w:sz w:val="24"/>
          <w:szCs w:val="24"/>
        </w:rPr>
        <w:t>，</w:t>
      </w:r>
      <w:r>
        <w:rPr>
          <w:rFonts w:hint="eastAsia" w:ascii="仿宋" w:hAnsi="仿宋" w:eastAsia="仿宋" w:cs="仿宋"/>
          <w:sz w:val="24"/>
          <w:szCs w:val="24"/>
        </w:rPr>
        <w:t>认真执行工程承包合同中的有关安全要求。</w:t>
      </w:r>
    </w:p>
    <w:p w14:paraId="34A9C3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E90CC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04E3D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（4）承包人在任何时候都应采取各种合理的预防措施，防止其员工发生任何违法、违禁、暴力或妨碍治安的行为。</w:t>
      </w:r>
    </w:p>
    <w:p w14:paraId="2269CD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DCDBC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7ECF9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（7）操作人员上岗，必须按规定穿戴防护用品。施工负责人和安全检查员应随时检查劳动防护用品的穿戴情况，不按规定穿戴防护用品的人员不得上岗。</w:t>
      </w:r>
    </w:p>
    <w:p w14:paraId="4C8369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（8）所有施工机具设备和高空作业的设备均应定期检查，并有安全员的签字记录，保证其经常处于完好状态；不合格的机具、设备和劳动保护用品严禁使用。</w:t>
      </w:r>
    </w:p>
    <w:p w14:paraId="6A96D8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（9）施工中采用新技术、新工艺、新设备、新材料时，必须制定相应的安全技术措施，施工现场必须具有相关的安全标志牌。</w:t>
      </w:r>
    </w:p>
    <w:p w14:paraId="6ACC98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B020E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（11）安全生产费用按照《公路水运工程安全生产监督管理办法》的相关规定使用和管理。</w:t>
      </w:r>
    </w:p>
    <w:p w14:paraId="00EAAE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3、违约责任</w:t>
      </w:r>
    </w:p>
    <w:p w14:paraId="532C0E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如因发包人或承包人违约造成安全事故，将依法追究责任。</w:t>
      </w:r>
    </w:p>
    <w:p w14:paraId="6E1DB4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4、本合同由双方法定代表人或其授权的代理人签署并加盖单位章后生效，全部工程竣工验收后失效。</w:t>
      </w:r>
    </w:p>
    <w:p w14:paraId="27BD59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5、本合同—式</w:t>
      </w:r>
      <w:r>
        <w:rPr>
          <w:rFonts w:hint="eastAsia" w:ascii="仿宋" w:hAnsi="仿宋" w:eastAsia="仿宋" w:cs="仿宋"/>
          <w:sz w:val="24"/>
          <w:szCs w:val="24"/>
          <w:u w:val="single"/>
        </w:rPr>
        <w:t xml:space="preserve"> 陆 </w:t>
      </w:r>
      <w:r>
        <w:rPr>
          <w:rFonts w:hint="eastAsia" w:ascii="仿宋" w:hAnsi="仿宋" w:eastAsia="仿宋" w:cs="仿宋"/>
          <w:sz w:val="24"/>
          <w:szCs w:val="24"/>
        </w:rPr>
        <w:t>份，合同双方各执</w:t>
      </w:r>
      <w:r>
        <w:rPr>
          <w:rFonts w:hint="eastAsia" w:ascii="仿宋" w:hAnsi="仿宋" w:eastAsia="仿宋" w:cs="仿宋"/>
          <w:sz w:val="24"/>
          <w:szCs w:val="24"/>
          <w:u w:val="single"/>
        </w:rPr>
        <w:t xml:space="preserve"> 叁 </w:t>
      </w:r>
      <w:r>
        <w:rPr>
          <w:rFonts w:hint="eastAsia" w:ascii="仿宋" w:hAnsi="仿宋" w:eastAsia="仿宋" w:cs="仿宋"/>
          <w:sz w:val="24"/>
          <w:szCs w:val="24"/>
        </w:rPr>
        <w:t>份。</w:t>
      </w:r>
    </w:p>
    <w:p w14:paraId="62D8490D">
      <w:pPr>
        <w:spacing w:line="360" w:lineRule="auto"/>
        <w:rPr>
          <w:rFonts w:hint="eastAsia" w:ascii="仿宋" w:hAnsi="仿宋" w:eastAsia="仿宋" w:cs="仿宋"/>
          <w:sz w:val="24"/>
          <w:szCs w:val="24"/>
        </w:rPr>
      </w:pPr>
    </w:p>
    <w:p w14:paraId="218A9F98">
      <w:pPr>
        <w:spacing w:line="600" w:lineRule="auto"/>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荥阳市交通运输局 </w:t>
      </w:r>
      <w:r>
        <w:rPr>
          <w:rFonts w:hint="eastAsia" w:ascii="仿宋" w:hAnsi="仿宋" w:eastAsia="仿宋" w:cs="仿宋"/>
          <w:sz w:val="24"/>
          <w:szCs w:val="24"/>
        </w:rPr>
        <w:t xml:space="preserve">       承包人：</w:t>
      </w:r>
      <w:r>
        <w:rPr>
          <w:rFonts w:hint="eastAsia" w:ascii="仿宋" w:hAnsi="仿宋" w:eastAsia="仿宋" w:cs="仿宋"/>
          <w:sz w:val="24"/>
          <w:szCs w:val="24"/>
          <w:u w:val="single"/>
        </w:rPr>
        <w:t xml:space="preserve">                </w:t>
      </w:r>
    </w:p>
    <w:p w14:paraId="1A41882B">
      <w:pPr>
        <w:spacing w:line="60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 xml:space="preserve">（盖单位章）                   （盖单位章） </w:t>
      </w:r>
    </w:p>
    <w:p w14:paraId="3BA9283E">
      <w:pPr>
        <w:spacing w:line="600" w:lineRule="auto"/>
        <w:rPr>
          <w:rFonts w:hint="eastAsia" w:ascii="仿宋" w:hAnsi="仿宋" w:eastAsia="仿宋" w:cs="仿宋"/>
          <w:sz w:val="24"/>
          <w:szCs w:val="24"/>
        </w:rPr>
      </w:pPr>
      <w:r>
        <w:rPr>
          <w:rFonts w:hint="eastAsia" w:ascii="仿宋" w:hAnsi="仿宋" w:eastAsia="仿宋" w:cs="仿宋"/>
          <w:sz w:val="24"/>
          <w:szCs w:val="24"/>
        </w:rPr>
        <w:t>法定代表人或                    法定代表人或</w:t>
      </w:r>
    </w:p>
    <w:p w14:paraId="0C70AFB5">
      <w:pPr>
        <w:spacing w:line="600" w:lineRule="auto"/>
        <w:rPr>
          <w:rFonts w:hint="eastAsia" w:ascii="仿宋" w:hAnsi="仿宋" w:eastAsia="仿宋" w:cs="仿宋"/>
          <w:sz w:val="24"/>
          <w:szCs w:val="24"/>
        </w:rPr>
      </w:pPr>
      <w:r>
        <w:rPr>
          <w:rFonts w:hint="eastAsia" w:ascii="仿宋" w:hAnsi="仿宋" w:eastAsia="仿宋" w:cs="仿宋"/>
          <w:sz w:val="24"/>
          <w:szCs w:val="24"/>
        </w:rPr>
        <w:t>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   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121A393F">
      <w:pPr>
        <w:spacing w:line="600" w:lineRule="auto"/>
        <w:rPr>
          <w:rFonts w:hint="eastAsia" w:ascii="仿宋" w:hAnsi="仿宋" w:eastAsia="仿宋" w:cs="仿宋"/>
          <w:sz w:val="44"/>
          <w:szCs w:val="4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bookmarkStart w:id="567" w:name="_Toc15832"/>
      <w:bookmarkStart w:id="568" w:name="_Toc9496"/>
    </w:p>
    <w:p w14:paraId="4487BE8A">
      <w:pPr>
        <w:rPr>
          <w:rFonts w:hint="eastAsia" w:ascii="仿宋" w:hAnsi="仿宋" w:eastAsia="仿宋" w:cs="仿宋"/>
          <w:b/>
          <w:bCs/>
          <w:sz w:val="32"/>
          <w:szCs w:val="32"/>
        </w:rPr>
      </w:pPr>
      <w:bookmarkStart w:id="569" w:name="_Toc31225"/>
      <w:bookmarkStart w:id="570" w:name="_Toc30362"/>
      <w:r>
        <w:rPr>
          <w:rFonts w:hint="eastAsia" w:ascii="仿宋" w:hAnsi="仿宋" w:eastAsia="仿宋" w:cs="仿宋"/>
          <w:b/>
          <w:bCs/>
          <w:sz w:val="32"/>
          <w:szCs w:val="32"/>
        </w:rPr>
        <w:br w:type="page"/>
      </w:r>
    </w:p>
    <w:p w14:paraId="77BBA516">
      <w:pPr>
        <w:jc w:val="center"/>
        <w:rPr>
          <w:rFonts w:hint="eastAsia" w:ascii="仿宋" w:hAnsi="仿宋" w:eastAsia="仿宋" w:cs="仿宋"/>
          <w:bCs/>
          <w:sz w:val="32"/>
          <w:szCs w:val="32"/>
        </w:rPr>
      </w:pPr>
      <w:r>
        <w:rPr>
          <w:rFonts w:hint="eastAsia" w:ascii="仿宋" w:hAnsi="仿宋" w:eastAsia="仿宋" w:cs="仿宋"/>
          <w:b/>
          <w:bCs/>
          <w:sz w:val="32"/>
          <w:szCs w:val="32"/>
        </w:rPr>
        <w:t>施工环保协议书</w:t>
      </w:r>
      <w:bookmarkEnd w:id="567"/>
      <w:bookmarkEnd w:id="568"/>
      <w:bookmarkEnd w:id="569"/>
      <w:bookmarkEnd w:id="570"/>
    </w:p>
    <w:p w14:paraId="74342C73">
      <w:pPr>
        <w:spacing w:line="600" w:lineRule="exact"/>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荥阳市交通运输局  </w:t>
      </w:r>
      <w:r>
        <w:rPr>
          <w:rFonts w:hint="eastAsia" w:ascii="仿宋" w:hAnsi="仿宋" w:eastAsia="仿宋" w:cs="仿宋"/>
          <w:sz w:val="24"/>
          <w:szCs w:val="24"/>
        </w:rPr>
        <w:t xml:space="preserve">    （建设单位）</w:t>
      </w:r>
    </w:p>
    <w:p w14:paraId="7F5199A7">
      <w:pPr>
        <w:spacing w:line="600" w:lineRule="exact"/>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（施工单位）</w:t>
      </w:r>
    </w:p>
    <w:p w14:paraId="4ACBC6E4">
      <w:pPr>
        <w:spacing w:line="600" w:lineRule="exact"/>
        <w:rPr>
          <w:rFonts w:hint="eastAsia" w:ascii="仿宋" w:hAnsi="仿宋" w:eastAsia="仿宋" w:cs="仿宋"/>
          <w:sz w:val="24"/>
          <w:szCs w:val="24"/>
        </w:rPr>
      </w:pPr>
      <w:r>
        <w:rPr>
          <w:rFonts w:hint="eastAsia" w:ascii="仿宋" w:hAnsi="仿宋" w:eastAsia="仿宋" w:cs="仿宋"/>
          <w:sz w:val="24"/>
          <w:szCs w:val="24"/>
        </w:rPr>
        <w:t>丙方：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（监理单位）</w:t>
      </w:r>
    </w:p>
    <w:p w14:paraId="661657CA">
      <w:pPr>
        <w:widowControl/>
        <w:shd w:val="clear" w:color="auto"/>
        <w:wordWrap w:val="0"/>
        <w:spacing w:line="6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为加强施工现场环境保护，认真贯彻落实国家、市委的有关环境保护法律、法规和管理要求，根据《中华人民共和国环境保护法》的有关规定，确保施工现场环境保护工作始终保持良好状态，甲、乙、丙三方本着平等、自愿原则，签订本协议，以保障施工工地现场环境保护工作顺利进行。</w:t>
      </w:r>
    </w:p>
    <w:p w14:paraId="63310177">
      <w:pPr>
        <w:widowControl/>
        <w:shd w:val="clear" w:color="auto"/>
        <w:wordWrap w:val="0"/>
        <w:spacing w:line="6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一、甲方职责</w:t>
      </w:r>
    </w:p>
    <w:p w14:paraId="4A849494">
      <w:pPr>
        <w:widowControl/>
        <w:shd w:val="clear" w:color="auto"/>
        <w:wordWrap w:val="0"/>
        <w:spacing w:line="600" w:lineRule="exact"/>
        <w:ind w:firstLine="360" w:firstLineChars="150"/>
        <w:jc w:val="left"/>
        <w:rPr>
          <w:rFonts w:hint="eastAsia" w:ascii="仿宋" w:hAnsi="仿宋" w:eastAsia="仿宋" w:cs="仿宋"/>
          <w:kern w:val="0"/>
          <w:sz w:val="24"/>
          <w:szCs w:val="24"/>
        </w:rPr>
      </w:pPr>
      <w:r>
        <w:rPr>
          <w:rFonts w:hint="eastAsia" w:ascii="仿宋" w:hAnsi="仿宋" w:eastAsia="仿宋" w:cs="仿宋"/>
          <w:kern w:val="0"/>
          <w:sz w:val="24"/>
          <w:szCs w:val="24"/>
        </w:rPr>
        <w:t>1、甲方应及时向乙方宣传、提供国家和本辖区的有关环保方面的法规、条例、规章、制度等，利于乙方施工现场不打折扣执行。</w:t>
      </w:r>
    </w:p>
    <w:p w14:paraId="0BF42284">
      <w:pPr>
        <w:widowControl/>
        <w:shd w:val="clear" w:color="auto"/>
        <w:wordWrap w:val="0"/>
        <w:spacing w:line="600" w:lineRule="exact"/>
        <w:ind w:firstLine="360" w:firstLineChars="15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bCs/>
          <w:kern w:val="0"/>
          <w:sz w:val="24"/>
          <w:szCs w:val="24"/>
        </w:rPr>
        <w:t>施工期间，甲方有权对施工现场进行督查</w:t>
      </w:r>
      <w:r>
        <w:rPr>
          <w:rFonts w:hint="eastAsia" w:ascii="仿宋" w:hAnsi="仿宋" w:eastAsia="仿宋" w:cs="仿宋"/>
          <w:kern w:val="0"/>
          <w:sz w:val="24"/>
          <w:szCs w:val="24"/>
        </w:rPr>
        <w:t>，对乙方和丙方在落实环保工作中存在的问题，提出整改意见。</w:t>
      </w:r>
    </w:p>
    <w:p w14:paraId="59EA7174">
      <w:pPr>
        <w:widowControl/>
        <w:shd w:val="clear" w:color="auto"/>
        <w:wordWrap w:val="0"/>
        <w:spacing w:line="600" w:lineRule="exact"/>
        <w:ind w:firstLine="360" w:firstLineChars="150"/>
        <w:jc w:val="left"/>
        <w:rPr>
          <w:rFonts w:hint="eastAsia" w:ascii="仿宋" w:hAnsi="仿宋" w:eastAsia="仿宋" w:cs="仿宋"/>
          <w:bCs/>
          <w:kern w:val="0"/>
          <w:sz w:val="24"/>
          <w:szCs w:val="24"/>
        </w:rPr>
      </w:pPr>
      <w:r>
        <w:rPr>
          <w:rFonts w:hint="eastAsia" w:ascii="仿宋" w:hAnsi="仿宋" w:eastAsia="仿宋" w:cs="仿宋"/>
          <w:kern w:val="0"/>
          <w:sz w:val="24"/>
          <w:szCs w:val="24"/>
        </w:rPr>
        <w:t>3、如乙方对督查中存在问题整改不力或达不到标准要求，</w:t>
      </w:r>
      <w:r>
        <w:rPr>
          <w:rFonts w:hint="eastAsia" w:ascii="仿宋" w:hAnsi="仿宋" w:eastAsia="仿宋" w:cs="仿宋"/>
          <w:bCs/>
          <w:kern w:val="0"/>
          <w:sz w:val="24"/>
          <w:szCs w:val="24"/>
        </w:rPr>
        <w:t>每出现一次，乙方应承担壹万元的违约金，由甲方委托丙方直接从工程款中扣除，同时乙方仍应限期整改到位。</w:t>
      </w:r>
    </w:p>
    <w:p w14:paraId="1C091B12">
      <w:pPr>
        <w:widowControl/>
        <w:shd w:val="clear" w:color="auto"/>
        <w:wordWrap w:val="0"/>
        <w:spacing w:line="600" w:lineRule="exact"/>
        <w:ind w:firstLine="360" w:firstLineChars="150"/>
        <w:jc w:val="left"/>
        <w:rPr>
          <w:rFonts w:hint="eastAsia" w:ascii="仿宋" w:hAnsi="仿宋" w:eastAsia="仿宋" w:cs="仿宋"/>
          <w:b/>
          <w:bCs/>
          <w:kern w:val="0"/>
          <w:sz w:val="24"/>
          <w:szCs w:val="24"/>
        </w:rPr>
      </w:pPr>
      <w:r>
        <w:rPr>
          <w:rFonts w:hint="eastAsia" w:ascii="仿宋" w:hAnsi="仿宋" w:eastAsia="仿宋" w:cs="仿宋"/>
          <w:kern w:val="0"/>
          <w:sz w:val="24"/>
          <w:szCs w:val="24"/>
        </w:rPr>
        <w:t>4、如乙方在规定的期限内没有整改到位，甲方可解除与其合同关系，另选施工单位进场进行后续施工，</w:t>
      </w:r>
      <w:r>
        <w:rPr>
          <w:rFonts w:hint="eastAsia" w:ascii="仿宋" w:hAnsi="仿宋" w:eastAsia="仿宋" w:cs="仿宋"/>
          <w:bCs/>
          <w:kern w:val="0"/>
          <w:sz w:val="24"/>
          <w:szCs w:val="24"/>
        </w:rPr>
        <w:t>因此给甲方造成的损失由乙方承担，乙方因解除合同造成的损失，由其自行承担。</w:t>
      </w:r>
    </w:p>
    <w:p w14:paraId="4282D67B">
      <w:pPr>
        <w:widowControl/>
        <w:shd w:val="clear" w:color="auto"/>
        <w:wordWrap w:val="0"/>
        <w:spacing w:line="6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二、乙方职责</w:t>
      </w:r>
    </w:p>
    <w:p w14:paraId="002CFE66">
      <w:pPr>
        <w:widowControl/>
        <w:shd w:val="clear" w:color="auto"/>
        <w:wordWrap w:val="0"/>
        <w:spacing w:line="600" w:lineRule="exact"/>
        <w:ind w:firstLine="360" w:firstLineChars="15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1、应按照《道路桥梁工程建设工地扬尘污染治理工作标准》和相关规定设置施工现场工程公示牌及警示标志。</w:t>
      </w:r>
    </w:p>
    <w:p w14:paraId="3CFEB649">
      <w:pPr>
        <w:widowControl/>
        <w:shd w:val="clear" w:color="auto"/>
        <w:wordWrap w:val="0"/>
        <w:spacing w:line="6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2、应按照《道路桥梁工程建设工地扬尘污染治理工作标准》和相关规定设置环境保护牌。</w:t>
      </w:r>
    </w:p>
    <w:p w14:paraId="09B7AC37">
      <w:pPr>
        <w:widowControl/>
        <w:shd w:val="clear" w:color="auto"/>
        <w:wordWrap w:val="0"/>
        <w:spacing w:line="6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3、应按照《道路桥梁工程建设工地扬尘污染治理工作标准》和相关规定设置连续围挡。</w:t>
      </w:r>
    </w:p>
    <w:p w14:paraId="2A99D076">
      <w:pPr>
        <w:widowControl/>
        <w:shd w:val="clear" w:color="auto"/>
        <w:wordWrap w:val="0"/>
        <w:spacing w:line="6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4、应按照《道路桥梁工程建设工地扬尘污染治理工作标准》和相关规定做好施工现场场地。</w:t>
      </w:r>
    </w:p>
    <w:p w14:paraId="242505D0">
      <w:pPr>
        <w:widowControl/>
        <w:shd w:val="clear" w:color="auto"/>
        <w:wordWrap w:val="0"/>
        <w:spacing w:line="6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5、应按照《道路桥梁工程建设工地扬尘污染治理工作标准》和相关规定落实施工现场降尘措施。</w:t>
      </w:r>
    </w:p>
    <w:p w14:paraId="7A92DCD0">
      <w:pPr>
        <w:widowControl/>
        <w:shd w:val="clear" w:color="auto"/>
        <w:wordWrap w:val="0"/>
        <w:spacing w:line="6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kern w:val="0"/>
          <w:sz w:val="24"/>
          <w:szCs w:val="24"/>
          <w:lang w:val="en-US" w:eastAsia="zh-CN"/>
        </w:rPr>
        <w:t>乙方</w:t>
      </w:r>
      <w:r>
        <w:rPr>
          <w:rFonts w:hint="eastAsia" w:ascii="仿宋" w:hAnsi="仿宋" w:eastAsia="仿宋" w:cs="仿宋"/>
          <w:kern w:val="0"/>
          <w:sz w:val="24"/>
          <w:szCs w:val="24"/>
        </w:rPr>
        <w:t>为在建工地扬尘污染治理主体责任单位，严格落实在建工地“八个100%”（即：工地周边100%围挡、各类物料堆放100%覆盖、土方开挖及拆迁作业100%湿法作业、出入车辆100%清洗、施工现场路面100%硬化、渣土车辆100%密闭运输、建筑面积1万平方米以上及涉土石方作业的施工工地100%安装在线视频监控、工地内非道路移动机械使用油品及车辆100%达标。</w:t>
      </w:r>
    </w:p>
    <w:p w14:paraId="4DACE6BD">
      <w:pPr>
        <w:widowControl/>
        <w:shd w:val="clear" w:color="auto"/>
        <w:wordWrap w:val="0"/>
        <w:spacing w:line="600" w:lineRule="exact"/>
        <w:ind w:firstLine="480" w:firstLineChars="200"/>
        <w:jc w:val="left"/>
        <w:rPr>
          <w:rFonts w:hint="eastAsia" w:ascii="仿宋" w:hAnsi="仿宋" w:eastAsia="仿宋" w:cs="仿宋"/>
          <w:b/>
          <w:bCs/>
          <w:kern w:val="0"/>
          <w:sz w:val="24"/>
          <w:szCs w:val="24"/>
        </w:rPr>
      </w:pPr>
      <w:r>
        <w:rPr>
          <w:rFonts w:hint="eastAsia" w:ascii="仿宋" w:hAnsi="仿宋" w:eastAsia="仿宋" w:cs="仿宋"/>
          <w:kern w:val="0"/>
          <w:sz w:val="24"/>
          <w:szCs w:val="24"/>
        </w:rPr>
        <w:t>7、</w:t>
      </w:r>
      <w:r>
        <w:rPr>
          <w:rFonts w:hint="eastAsia" w:ascii="仿宋" w:hAnsi="仿宋" w:eastAsia="仿宋" w:cs="仿宋"/>
          <w:bCs/>
          <w:kern w:val="0"/>
          <w:sz w:val="24"/>
          <w:szCs w:val="24"/>
        </w:rPr>
        <w:t>乙方为施工环保责任人，施工期间因环保问题所产生的一切行政责任、民事责任、罚款等均由乙方承担</w:t>
      </w:r>
      <w:r>
        <w:rPr>
          <w:rFonts w:hint="eastAsia" w:ascii="仿宋" w:hAnsi="仿宋" w:eastAsia="仿宋" w:cs="仿宋"/>
          <w:b/>
          <w:bCs/>
          <w:kern w:val="0"/>
          <w:sz w:val="24"/>
          <w:szCs w:val="24"/>
        </w:rPr>
        <w:t>。</w:t>
      </w:r>
    </w:p>
    <w:p w14:paraId="40CBCB10">
      <w:pPr>
        <w:widowControl/>
        <w:shd w:val="clear" w:color="auto"/>
        <w:wordWrap w:val="0"/>
        <w:spacing w:line="600" w:lineRule="exact"/>
        <w:jc w:val="left"/>
        <w:rPr>
          <w:rFonts w:hint="eastAsia" w:ascii="仿宋" w:hAnsi="仿宋" w:eastAsia="仿宋" w:cs="仿宋"/>
          <w:bCs/>
          <w:kern w:val="0"/>
          <w:sz w:val="24"/>
          <w:szCs w:val="24"/>
        </w:rPr>
      </w:pPr>
      <w:r>
        <w:rPr>
          <w:rFonts w:hint="eastAsia" w:ascii="仿宋" w:hAnsi="仿宋" w:eastAsia="仿宋" w:cs="仿宋"/>
          <w:bCs/>
          <w:kern w:val="0"/>
          <w:sz w:val="24"/>
          <w:szCs w:val="24"/>
        </w:rPr>
        <w:t>三、丙方职责</w:t>
      </w:r>
    </w:p>
    <w:p w14:paraId="65EC85DB">
      <w:pPr>
        <w:widowControl/>
        <w:shd w:val="clear" w:color="auto"/>
        <w:wordWrap w:val="0"/>
        <w:spacing w:line="600" w:lineRule="exact"/>
        <w:ind w:firstLine="660"/>
        <w:jc w:val="left"/>
        <w:rPr>
          <w:rFonts w:hint="eastAsia" w:ascii="仿宋" w:hAnsi="仿宋" w:eastAsia="仿宋" w:cs="仿宋"/>
          <w:bCs/>
          <w:kern w:val="0"/>
          <w:sz w:val="24"/>
          <w:szCs w:val="24"/>
        </w:rPr>
      </w:pPr>
      <w:r>
        <w:rPr>
          <w:rFonts w:hint="eastAsia" w:ascii="仿宋" w:hAnsi="仿宋" w:eastAsia="仿宋" w:cs="仿宋"/>
          <w:bCs/>
          <w:kern w:val="0"/>
          <w:sz w:val="24"/>
          <w:szCs w:val="24"/>
        </w:rPr>
        <w:t>1、负责对乙方施工工地的扬尘污染治理措施进行管理和落实，若乙方每出现一次</w:t>
      </w:r>
      <w:r>
        <w:rPr>
          <w:rFonts w:hint="eastAsia" w:ascii="仿宋" w:hAnsi="仿宋" w:eastAsia="仿宋" w:cs="仿宋"/>
          <w:kern w:val="0"/>
          <w:sz w:val="24"/>
          <w:szCs w:val="24"/>
        </w:rPr>
        <w:t>整改不力或达不到标准要求的</w:t>
      </w:r>
      <w:r>
        <w:rPr>
          <w:rFonts w:hint="eastAsia" w:ascii="仿宋" w:hAnsi="仿宋" w:eastAsia="仿宋" w:cs="仿宋"/>
          <w:bCs/>
          <w:kern w:val="0"/>
          <w:sz w:val="24"/>
          <w:szCs w:val="24"/>
        </w:rPr>
        <w:t>，丙方应承担</w:t>
      </w:r>
      <w:r>
        <w:rPr>
          <w:rFonts w:hint="eastAsia" w:ascii="仿宋" w:hAnsi="仿宋" w:eastAsia="仿宋" w:cs="仿宋"/>
          <w:bCs/>
          <w:kern w:val="0"/>
          <w:sz w:val="24"/>
          <w:szCs w:val="24"/>
          <w:u w:val="single"/>
        </w:rPr>
        <w:t xml:space="preserve"> 2000 </w:t>
      </w:r>
      <w:r>
        <w:rPr>
          <w:rFonts w:hint="eastAsia" w:ascii="仿宋" w:hAnsi="仿宋" w:eastAsia="仿宋" w:cs="仿宋"/>
          <w:b/>
          <w:kern w:val="0"/>
          <w:sz w:val="24"/>
          <w:szCs w:val="24"/>
        </w:rPr>
        <w:t>元</w:t>
      </w:r>
      <w:r>
        <w:rPr>
          <w:rFonts w:hint="eastAsia" w:ascii="仿宋" w:hAnsi="仿宋" w:eastAsia="仿宋" w:cs="仿宋"/>
          <w:bCs/>
          <w:kern w:val="0"/>
          <w:sz w:val="24"/>
          <w:szCs w:val="24"/>
        </w:rPr>
        <w:t>的违约金，由甲方直接从监理服务费中扣除，</w:t>
      </w:r>
      <w:r>
        <w:rPr>
          <w:rFonts w:hint="eastAsia" w:ascii="仿宋" w:hAnsi="仿宋" w:eastAsia="仿宋" w:cs="仿宋"/>
          <w:bCs/>
          <w:color w:val="000000"/>
          <w:kern w:val="0"/>
          <w:sz w:val="24"/>
          <w:szCs w:val="24"/>
        </w:rPr>
        <w:t>同时丙方仍</w:t>
      </w:r>
      <w:r>
        <w:rPr>
          <w:rFonts w:hint="eastAsia" w:ascii="仿宋" w:hAnsi="仿宋" w:eastAsia="仿宋" w:cs="仿宋"/>
          <w:bCs/>
          <w:kern w:val="0"/>
          <w:sz w:val="24"/>
          <w:szCs w:val="24"/>
        </w:rPr>
        <w:t>应按要求督促乙方整改到位。</w:t>
      </w:r>
    </w:p>
    <w:p w14:paraId="5FE2658B">
      <w:pPr>
        <w:widowControl/>
        <w:shd w:val="clear" w:color="auto"/>
        <w:wordWrap w:val="0"/>
        <w:spacing w:line="600" w:lineRule="exact"/>
        <w:ind w:firstLine="660"/>
        <w:jc w:val="left"/>
        <w:rPr>
          <w:rFonts w:hint="eastAsia" w:ascii="仿宋" w:hAnsi="仿宋" w:eastAsia="仿宋" w:cs="仿宋"/>
          <w:bCs/>
          <w:kern w:val="0"/>
          <w:sz w:val="24"/>
          <w:szCs w:val="24"/>
        </w:rPr>
      </w:pPr>
      <w:r>
        <w:rPr>
          <w:rFonts w:hint="eastAsia" w:ascii="仿宋" w:hAnsi="仿宋" w:eastAsia="仿宋" w:cs="仿宋"/>
          <w:bCs/>
          <w:kern w:val="0"/>
          <w:sz w:val="24"/>
          <w:szCs w:val="24"/>
        </w:rPr>
        <w:t>2、监督并检查乙方施工工地扬尘污染治理措施落实情况和环保台账建立情况，并形成督导意见督促整改落实。</w:t>
      </w:r>
    </w:p>
    <w:p w14:paraId="53B4167C">
      <w:pPr>
        <w:widowControl/>
        <w:shd w:val="clear" w:color="auto"/>
        <w:wordWrap w:val="0"/>
        <w:spacing w:line="600" w:lineRule="exact"/>
        <w:ind w:firstLine="660"/>
        <w:jc w:val="left"/>
        <w:rPr>
          <w:rFonts w:hint="eastAsia" w:ascii="仿宋" w:hAnsi="仿宋" w:eastAsia="仿宋" w:cs="仿宋"/>
          <w:bCs/>
          <w:kern w:val="0"/>
          <w:sz w:val="24"/>
          <w:szCs w:val="24"/>
        </w:rPr>
      </w:pPr>
      <w:r>
        <w:rPr>
          <w:rFonts w:hint="eastAsia" w:ascii="仿宋" w:hAnsi="仿宋" w:eastAsia="仿宋" w:cs="仿宋"/>
          <w:bCs/>
          <w:kern w:val="0"/>
          <w:sz w:val="24"/>
          <w:szCs w:val="24"/>
        </w:rPr>
        <w:t>3、对乙方在扬尘污染治理方面整改不力的，负责从计量款中扣除施工单位环保治理违约金。</w:t>
      </w:r>
    </w:p>
    <w:p w14:paraId="43D7C1A4">
      <w:pPr>
        <w:widowControl/>
        <w:shd w:val="clear" w:color="auto"/>
        <w:wordWrap w:val="0"/>
        <w:spacing w:line="600" w:lineRule="exact"/>
        <w:ind w:left="638" w:leftChars="304"/>
        <w:jc w:val="left"/>
        <w:rPr>
          <w:rFonts w:hint="eastAsia" w:ascii="仿宋" w:hAnsi="仿宋" w:eastAsia="仿宋" w:cs="仿宋"/>
          <w:kern w:val="0"/>
          <w:sz w:val="24"/>
          <w:szCs w:val="24"/>
        </w:rPr>
      </w:pPr>
      <w:r>
        <w:rPr>
          <w:rFonts w:hint="eastAsia" w:ascii="仿宋" w:hAnsi="仿宋" w:eastAsia="仿宋" w:cs="仿宋"/>
          <w:kern w:val="0"/>
          <w:sz w:val="24"/>
          <w:szCs w:val="24"/>
        </w:rPr>
        <w:t>四、本协议一式</w:t>
      </w:r>
      <w:r>
        <w:rPr>
          <w:rFonts w:hint="eastAsia" w:ascii="仿宋" w:hAnsi="仿宋" w:eastAsia="仿宋" w:cs="仿宋"/>
          <w:kern w:val="0"/>
          <w:sz w:val="24"/>
          <w:szCs w:val="24"/>
          <w:u w:val="single"/>
        </w:rPr>
        <w:t xml:space="preserve"> 陆 </w:t>
      </w:r>
      <w:r>
        <w:rPr>
          <w:rFonts w:hint="eastAsia" w:ascii="仿宋" w:hAnsi="仿宋" w:eastAsia="仿宋" w:cs="仿宋"/>
          <w:kern w:val="0"/>
          <w:sz w:val="24"/>
          <w:szCs w:val="24"/>
        </w:rPr>
        <w:t>份，甲方持</w:t>
      </w:r>
      <w:r>
        <w:rPr>
          <w:rFonts w:hint="eastAsia" w:ascii="仿宋" w:hAnsi="仿宋" w:eastAsia="仿宋" w:cs="仿宋"/>
          <w:kern w:val="0"/>
          <w:sz w:val="24"/>
          <w:szCs w:val="24"/>
          <w:u w:val="single"/>
        </w:rPr>
        <w:t xml:space="preserve"> 贰 </w:t>
      </w:r>
      <w:r>
        <w:rPr>
          <w:rFonts w:hint="eastAsia" w:ascii="仿宋" w:hAnsi="仿宋" w:eastAsia="仿宋" w:cs="仿宋"/>
          <w:kern w:val="0"/>
          <w:sz w:val="24"/>
          <w:szCs w:val="24"/>
        </w:rPr>
        <w:t>份，乙方、丙方各持</w:t>
      </w:r>
      <w:r>
        <w:rPr>
          <w:rFonts w:hint="eastAsia" w:ascii="仿宋" w:hAnsi="仿宋" w:eastAsia="仿宋" w:cs="仿宋"/>
          <w:kern w:val="0"/>
          <w:sz w:val="24"/>
          <w:szCs w:val="24"/>
          <w:u w:val="single"/>
        </w:rPr>
        <w:t xml:space="preserve"> 贰 </w:t>
      </w:r>
      <w:r>
        <w:rPr>
          <w:rFonts w:hint="eastAsia" w:ascii="仿宋" w:hAnsi="仿宋" w:eastAsia="仿宋" w:cs="仿宋"/>
          <w:kern w:val="0"/>
          <w:sz w:val="24"/>
          <w:szCs w:val="24"/>
        </w:rPr>
        <w:t>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五、本工程竣工验收合格且缺陷责</w:t>
      </w:r>
      <w:r>
        <w:rPr>
          <w:rFonts w:hint="eastAsia" w:ascii="仿宋" w:hAnsi="仿宋" w:eastAsia="仿宋" w:cs="仿宋"/>
          <w:color w:val="000000"/>
          <w:kern w:val="0"/>
          <w:sz w:val="24"/>
          <w:szCs w:val="24"/>
        </w:rPr>
        <w:t>任期</w:t>
      </w:r>
      <w:r>
        <w:rPr>
          <w:rFonts w:hint="eastAsia" w:ascii="仿宋" w:hAnsi="仿宋" w:eastAsia="仿宋" w:cs="仿宋"/>
          <w:color w:val="000000"/>
          <w:sz w:val="24"/>
          <w:szCs w:val="24"/>
        </w:rPr>
        <w:t>及保修期届满</w:t>
      </w:r>
      <w:r>
        <w:rPr>
          <w:rFonts w:hint="eastAsia" w:ascii="仿宋" w:hAnsi="仿宋" w:eastAsia="仿宋" w:cs="仿宋"/>
          <w:color w:val="000000"/>
          <w:kern w:val="0"/>
          <w:sz w:val="24"/>
          <w:szCs w:val="24"/>
        </w:rPr>
        <w:t>，</w:t>
      </w:r>
      <w:r>
        <w:rPr>
          <w:rFonts w:hint="eastAsia" w:ascii="仿宋" w:hAnsi="仿宋" w:eastAsia="仿宋" w:cs="仿宋"/>
          <w:kern w:val="0"/>
          <w:sz w:val="24"/>
          <w:szCs w:val="24"/>
        </w:rPr>
        <w:t>本协议自行作废。</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w:t>
      </w:r>
    </w:p>
    <w:p w14:paraId="692066F2">
      <w:pPr>
        <w:widowControl/>
        <w:shd w:val="clear" w:color="auto"/>
        <w:wordWrap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甲方：</w:t>
      </w:r>
      <w:r>
        <w:rPr>
          <w:rFonts w:hint="eastAsia" w:ascii="仿宋" w:hAnsi="仿宋" w:eastAsia="仿宋" w:cs="仿宋"/>
          <w:kern w:val="0"/>
          <w:sz w:val="24"/>
          <w:szCs w:val="24"/>
          <w:u w:val="single"/>
        </w:rPr>
        <w:t>荥阳市交通运输局</w:t>
      </w:r>
      <w:r>
        <w:rPr>
          <w:rFonts w:hint="eastAsia" w:ascii="仿宋" w:hAnsi="仿宋" w:eastAsia="仿宋" w:cs="仿宋"/>
          <w:kern w:val="0"/>
          <w:sz w:val="24"/>
          <w:szCs w:val="24"/>
        </w:rPr>
        <w:t xml:space="preserve">            乙方：</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14:paraId="39ADE547">
      <w:pPr>
        <w:widowControl/>
        <w:shd w:val="clear" w:color="auto"/>
        <w:wordWrap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法定代表人或                      法定代表人或</w:t>
      </w:r>
    </w:p>
    <w:p w14:paraId="70295B74">
      <w:pPr>
        <w:widowControl/>
        <w:shd w:val="clear" w:color="auto"/>
        <w:wordWrap w:val="0"/>
        <w:spacing w:line="480" w:lineRule="auto"/>
        <w:jc w:val="left"/>
        <w:rPr>
          <w:rFonts w:hint="eastAsia" w:ascii="仿宋" w:hAnsi="仿宋" w:eastAsia="仿宋" w:cs="仿宋"/>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委托代理人：</w:t>
      </w:r>
      <w:r>
        <w:rPr>
          <w:rFonts w:hint="eastAsia" w:ascii="仿宋" w:hAnsi="仿宋" w:eastAsia="仿宋" w:cs="仿宋"/>
          <w:kern w:val="0"/>
          <w:sz w:val="24"/>
          <w:szCs w:val="24"/>
          <w:u w:val="single"/>
        </w:rPr>
        <w:t xml:space="preserve">           </w:t>
      </w:r>
    </w:p>
    <w:p w14:paraId="318203E3">
      <w:pPr>
        <w:widowControl/>
        <w:shd w:val="clear" w:color="auto"/>
        <w:wordWrap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rPr>
        <w:br w:type="textWrapping"/>
      </w:r>
      <w:r>
        <w:rPr>
          <w:rFonts w:hint="eastAsia" w:ascii="仿宋" w:hAnsi="仿宋" w:eastAsia="仿宋" w:cs="仿宋"/>
          <w:kern w:val="0"/>
          <w:sz w:val="24"/>
          <w:szCs w:val="24"/>
        </w:rPr>
        <w:br w:type="textWrapping"/>
      </w:r>
      <w:r>
        <w:rPr>
          <w:rFonts w:hint="eastAsia" w:ascii="仿宋" w:hAnsi="仿宋" w:eastAsia="仿宋" w:cs="仿宋"/>
          <w:kern w:val="0"/>
          <w:sz w:val="24"/>
          <w:szCs w:val="24"/>
        </w:rPr>
        <w:t>丙方：</w:t>
      </w:r>
      <w:r>
        <w:rPr>
          <w:rFonts w:hint="eastAsia" w:ascii="仿宋" w:hAnsi="仿宋" w:eastAsia="仿宋" w:cs="仿宋"/>
          <w:kern w:val="0"/>
          <w:sz w:val="24"/>
          <w:szCs w:val="24"/>
          <w:u w:val="single"/>
        </w:rPr>
        <w:t xml:space="preserve">                 </w:t>
      </w:r>
    </w:p>
    <w:p w14:paraId="0E3B0453">
      <w:pPr>
        <w:widowControl/>
        <w:shd w:val="clear" w:color="auto"/>
        <w:wordWrap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法定代表人或</w:t>
      </w:r>
    </w:p>
    <w:p w14:paraId="5097240D">
      <w:pPr>
        <w:widowControl/>
        <w:shd w:val="clear" w:color="auto"/>
        <w:wordWrap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w:t>
      </w:r>
    </w:p>
    <w:p w14:paraId="40A69CDF">
      <w:pPr>
        <w:widowControl/>
        <w:shd w:val="clear" w:color="auto"/>
        <w:wordWrap w:val="0"/>
        <w:spacing w:line="480" w:lineRule="auto"/>
        <w:jc w:val="left"/>
        <w:rPr>
          <w:rFonts w:hint="eastAsia" w:ascii="仿宋" w:hAnsi="仿宋" w:eastAsia="仿宋" w:cs="仿宋"/>
          <w:kern w:val="0"/>
          <w:sz w:val="32"/>
          <w:szCs w:val="32"/>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rPr>
        <w:br w:type="textWrapping"/>
      </w:r>
    </w:p>
    <w:p w14:paraId="44BC6B2B">
      <w:pPr>
        <w:pStyle w:val="23"/>
        <w:spacing w:line="360" w:lineRule="auto"/>
        <w:jc w:val="both"/>
        <w:rPr>
          <w:rFonts w:hint="eastAsia" w:ascii="仿宋" w:hAnsi="仿宋" w:eastAsia="仿宋" w:cs="仿宋"/>
          <w:b/>
          <w:bCs/>
          <w:sz w:val="32"/>
          <w:szCs w:val="32"/>
        </w:rPr>
      </w:pPr>
    </w:p>
    <w:p w14:paraId="464ECA0E">
      <w:pPr>
        <w:rPr>
          <w:rFonts w:hint="eastAsia" w:ascii="仿宋" w:hAnsi="仿宋" w:eastAsia="仿宋" w:cs="仿宋"/>
          <w:color w:val="FF0000"/>
          <w:sz w:val="32"/>
          <w:szCs w:val="32"/>
        </w:rPr>
      </w:pPr>
      <w:r>
        <w:rPr>
          <w:rFonts w:hint="eastAsia" w:ascii="仿宋" w:hAnsi="仿宋" w:eastAsia="仿宋" w:cs="仿宋"/>
          <w:color w:val="FF0000"/>
          <w:sz w:val="32"/>
          <w:szCs w:val="32"/>
        </w:rPr>
        <w:br w:type="page"/>
      </w:r>
    </w:p>
    <w:p w14:paraId="5A9A78FD">
      <w:pPr>
        <w:pStyle w:val="2"/>
        <w:rPr>
          <w:rFonts w:hint="eastAsia" w:ascii="仿宋" w:hAnsi="仿宋" w:eastAsia="仿宋" w:cs="仿宋"/>
        </w:rPr>
      </w:pPr>
    </w:p>
    <w:p w14:paraId="49DD2269">
      <w:pPr>
        <w:jc w:val="center"/>
        <w:rPr>
          <w:rFonts w:hint="eastAsia" w:ascii="仿宋" w:hAnsi="仿宋" w:eastAsia="仿宋" w:cs="仿宋"/>
          <w:b/>
          <w:bCs/>
          <w:sz w:val="32"/>
          <w:szCs w:val="32"/>
        </w:rPr>
      </w:pPr>
      <w:bookmarkStart w:id="571" w:name="_Toc11890"/>
      <w:r>
        <w:rPr>
          <w:rFonts w:hint="eastAsia" w:ascii="仿宋" w:hAnsi="仿宋" w:eastAsia="仿宋" w:cs="仿宋"/>
          <w:b/>
          <w:bCs/>
          <w:sz w:val="32"/>
          <w:szCs w:val="32"/>
        </w:rPr>
        <w:t>投入本项目的项目经理和项目总工</w:t>
      </w:r>
      <w:bookmarkEnd w:id="571"/>
    </w:p>
    <w:tbl>
      <w:tblPr>
        <w:tblStyle w:val="27"/>
        <w:tblpPr w:leftFromText="180" w:rightFromText="180" w:vertAnchor="text" w:horzAnchor="page" w:tblpX="1465" w:tblpY="743"/>
        <w:tblOverlap w:val="never"/>
        <w:tblW w:w="0" w:type="auto"/>
        <w:tblInd w:w="0" w:type="dxa"/>
        <w:tblLayout w:type="fixed"/>
        <w:tblCellMar>
          <w:top w:w="0" w:type="dxa"/>
          <w:left w:w="108" w:type="dxa"/>
          <w:bottom w:w="0" w:type="dxa"/>
          <w:right w:w="108" w:type="dxa"/>
        </w:tblCellMar>
      </w:tblPr>
      <w:tblGrid>
        <w:gridCol w:w="1770"/>
        <w:gridCol w:w="1654"/>
        <w:gridCol w:w="3835"/>
        <w:gridCol w:w="1880"/>
      </w:tblGrid>
      <w:tr w14:paraId="4051F8C6">
        <w:tblPrEx>
          <w:tblCellMar>
            <w:top w:w="0" w:type="dxa"/>
            <w:left w:w="108" w:type="dxa"/>
            <w:bottom w:w="0" w:type="dxa"/>
            <w:right w:w="108" w:type="dxa"/>
          </w:tblCellMar>
        </w:tblPrEx>
        <w:trPr>
          <w:trHeight w:val="653"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14:paraId="515505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人员</w:t>
            </w:r>
          </w:p>
        </w:tc>
        <w:tc>
          <w:tcPr>
            <w:tcW w:w="1654" w:type="dxa"/>
            <w:tcBorders>
              <w:top w:val="single" w:color="auto" w:sz="4" w:space="0"/>
              <w:left w:val="nil"/>
              <w:bottom w:val="single" w:color="auto" w:sz="4" w:space="0"/>
              <w:right w:val="single" w:color="auto" w:sz="4" w:space="0"/>
            </w:tcBorders>
            <w:noWrap w:val="0"/>
            <w:vAlign w:val="center"/>
          </w:tcPr>
          <w:p w14:paraId="2B1BDF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3835" w:type="dxa"/>
            <w:tcBorders>
              <w:top w:val="single" w:color="auto" w:sz="4" w:space="0"/>
              <w:left w:val="nil"/>
              <w:bottom w:val="single" w:color="auto" w:sz="4" w:space="0"/>
              <w:right w:val="single" w:color="auto" w:sz="4" w:space="0"/>
            </w:tcBorders>
            <w:noWrap w:val="0"/>
            <w:vAlign w:val="center"/>
          </w:tcPr>
          <w:p w14:paraId="202CA13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身份证号、注册建造师证书编号或技术职称证编号</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323DF22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在岗承诺</w:t>
            </w:r>
          </w:p>
        </w:tc>
      </w:tr>
      <w:tr w14:paraId="4FA751D8">
        <w:tblPrEx>
          <w:tblCellMar>
            <w:top w:w="0" w:type="dxa"/>
            <w:left w:w="108" w:type="dxa"/>
            <w:bottom w:w="0" w:type="dxa"/>
            <w:right w:w="108" w:type="dxa"/>
          </w:tblCellMar>
        </w:tblPrEx>
        <w:trPr>
          <w:trHeight w:val="2831"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14:paraId="6B842FD9">
            <w:pPr>
              <w:spacing w:line="360" w:lineRule="auto"/>
              <w:jc w:val="center"/>
              <w:rPr>
                <w:rFonts w:hint="eastAsia" w:ascii="仿宋" w:hAnsi="仿宋" w:eastAsia="仿宋" w:cs="仿宋"/>
                <w:sz w:val="24"/>
                <w:szCs w:val="24"/>
              </w:rPr>
            </w:pPr>
          </w:p>
          <w:p w14:paraId="433174C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项目经理</w:t>
            </w:r>
          </w:p>
          <w:p w14:paraId="38098154">
            <w:pPr>
              <w:spacing w:line="360" w:lineRule="auto"/>
              <w:jc w:val="center"/>
              <w:rPr>
                <w:rFonts w:hint="eastAsia" w:ascii="仿宋" w:hAnsi="仿宋" w:eastAsia="仿宋" w:cs="仿宋"/>
                <w:sz w:val="24"/>
                <w:szCs w:val="24"/>
              </w:rPr>
            </w:pPr>
          </w:p>
        </w:tc>
        <w:tc>
          <w:tcPr>
            <w:tcW w:w="1654" w:type="dxa"/>
            <w:tcBorders>
              <w:top w:val="single" w:color="auto" w:sz="4" w:space="0"/>
              <w:left w:val="nil"/>
              <w:bottom w:val="single" w:color="auto" w:sz="4" w:space="0"/>
              <w:right w:val="single" w:color="auto" w:sz="4" w:space="0"/>
            </w:tcBorders>
            <w:noWrap w:val="0"/>
            <w:vAlign w:val="center"/>
          </w:tcPr>
          <w:p w14:paraId="7CB7F766">
            <w:pPr>
              <w:spacing w:line="360" w:lineRule="auto"/>
              <w:jc w:val="center"/>
              <w:rPr>
                <w:rFonts w:hint="eastAsia" w:ascii="仿宋" w:hAnsi="仿宋" w:eastAsia="仿宋" w:cs="仿宋"/>
                <w:sz w:val="24"/>
                <w:szCs w:val="24"/>
              </w:rPr>
            </w:pPr>
          </w:p>
          <w:p w14:paraId="4876279A">
            <w:pPr>
              <w:spacing w:line="360" w:lineRule="auto"/>
              <w:jc w:val="center"/>
              <w:rPr>
                <w:rFonts w:hint="eastAsia" w:ascii="仿宋" w:hAnsi="仿宋" w:eastAsia="仿宋" w:cs="仿宋"/>
                <w:sz w:val="24"/>
                <w:szCs w:val="24"/>
              </w:rPr>
            </w:pPr>
          </w:p>
          <w:p w14:paraId="158C4A5C">
            <w:pPr>
              <w:spacing w:line="360" w:lineRule="auto"/>
              <w:jc w:val="center"/>
              <w:rPr>
                <w:rFonts w:hint="eastAsia" w:ascii="仿宋" w:hAnsi="仿宋" w:eastAsia="仿宋" w:cs="仿宋"/>
                <w:sz w:val="24"/>
                <w:szCs w:val="24"/>
              </w:rPr>
            </w:pPr>
          </w:p>
          <w:p w14:paraId="5E9B20B5">
            <w:pPr>
              <w:spacing w:line="360" w:lineRule="auto"/>
              <w:jc w:val="center"/>
              <w:rPr>
                <w:rFonts w:hint="eastAsia" w:ascii="仿宋" w:hAnsi="仿宋" w:eastAsia="仿宋" w:cs="仿宋"/>
                <w:sz w:val="24"/>
                <w:szCs w:val="24"/>
              </w:rPr>
            </w:pPr>
          </w:p>
        </w:tc>
        <w:tc>
          <w:tcPr>
            <w:tcW w:w="3835" w:type="dxa"/>
            <w:tcBorders>
              <w:top w:val="single" w:color="auto" w:sz="4" w:space="0"/>
              <w:left w:val="nil"/>
              <w:bottom w:val="single" w:color="auto" w:sz="4" w:space="0"/>
              <w:right w:val="single" w:color="auto" w:sz="4" w:space="0"/>
            </w:tcBorders>
            <w:noWrap w:val="0"/>
            <w:vAlign w:val="center"/>
          </w:tcPr>
          <w:p w14:paraId="4D2307B5">
            <w:pPr>
              <w:spacing w:line="360" w:lineRule="auto"/>
              <w:rPr>
                <w:rFonts w:hint="eastAsia" w:ascii="仿宋" w:hAnsi="仿宋" w:eastAsia="仿宋" w:cs="仿宋"/>
                <w:sz w:val="24"/>
                <w:szCs w:val="24"/>
              </w:rPr>
            </w:pPr>
          </w:p>
        </w:tc>
        <w:tc>
          <w:tcPr>
            <w:tcW w:w="1880" w:type="dxa"/>
            <w:vMerge w:val="restart"/>
            <w:tcBorders>
              <w:top w:val="single" w:color="auto" w:sz="4" w:space="0"/>
              <w:left w:val="single" w:color="auto" w:sz="4" w:space="0"/>
              <w:bottom w:val="single" w:color="auto" w:sz="4" w:space="0"/>
              <w:right w:val="single" w:color="auto" w:sz="4" w:space="0"/>
            </w:tcBorders>
            <w:noWrap w:val="0"/>
            <w:vAlign w:val="center"/>
          </w:tcPr>
          <w:p w14:paraId="3A02B04F">
            <w:pPr>
              <w:spacing w:line="360" w:lineRule="auto"/>
              <w:rPr>
                <w:rFonts w:hint="eastAsia" w:ascii="仿宋" w:hAnsi="仿宋" w:eastAsia="仿宋" w:cs="仿宋"/>
                <w:sz w:val="24"/>
                <w:szCs w:val="24"/>
              </w:rPr>
            </w:pPr>
            <w:r>
              <w:rPr>
                <w:rFonts w:hint="eastAsia" w:ascii="仿宋" w:hAnsi="仿宋" w:eastAsia="仿宋" w:cs="仿宋"/>
                <w:sz w:val="24"/>
                <w:szCs w:val="24"/>
              </w:rPr>
              <w:t>无在岗项目（指目前未在其他项目上任职，或虽在其他项目上任职但本项目中标后能够从该项目撤离）</w:t>
            </w:r>
          </w:p>
        </w:tc>
      </w:tr>
      <w:tr w14:paraId="6592B2F8">
        <w:tblPrEx>
          <w:tblCellMar>
            <w:top w:w="0" w:type="dxa"/>
            <w:left w:w="108" w:type="dxa"/>
            <w:bottom w:w="0" w:type="dxa"/>
            <w:right w:w="108" w:type="dxa"/>
          </w:tblCellMar>
        </w:tblPrEx>
        <w:trPr>
          <w:trHeight w:val="2261"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14:paraId="74E78192">
            <w:pPr>
              <w:spacing w:line="360" w:lineRule="auto"/>
              <w:jc w:val="center"/>
              <w:rPr>
                <w:rFonts w:hint="eastAsia" w:ascii="仿宋" w:hAnsi="仿宋" w:eastAsia="仿宋" w:cs="仿宋"/>
                <w:sz w:val="24"/>
                <w:szCs w:val="24"/>
              </w:rPr>
            </w:pPr>
          </w:p>
          <w:p w14:paraId="735B7F6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项目总工程师</w:t>
            </w:r>
          </w:p>
          <w:p w14:paraId="4E773E87">
            <w:pPr>
              <w:spacing w:line="360" w:lineRule="auto"/>
              <w:jc w:val="center"/>
              <w:rPr>
                <w:rFonts w:hint="eastAsia" w:ascii="仿宋" w:hAnsi="仿宋" w:eastAsia="仿宋" w:cs="仿宋"/>
                <w:sz w:val="24"/>
                <w:szCs w:val="24"/>
              </w:rPr>
            </w:pPr>
          </w:p>
        </w:tc>
        <w:tc>
          <w:tcPr>
            <w:tcW w:w="1654" w:type="dxa"/>
            <w:tcBorders>
              <w:top w:val="single" w:color="auto" w:sz="4" w:space="0"/>
              <w:left w:val="nil"/>
              <w:bottom w:val="single" w:color="auto" w:sz="4" w:space="0"/>
              <w:right w:val="single" w:color="auto" w:sz="4" w:space="0"/>
            </w:tcBorders>
            <w:noWrap w:val="0"/>
            <w:vAlign w:val="center"/>
          </w:tcPr>
          <w:p w14:paraId="0BD693E7">
            <w:pPr>
              <w:spacing w:line="360" w:lineRule="auto"/>
              <w:jc w:val="center"/>
              <w:rPr>
                <w:rFonts w:hint="eastAsia" w:ascii="仿宋" w:hAnsi="仿宋" w:eastAsia="仿宋" w:cs="仿宋"/>
                <w:sz w:val="24"/>
                <w:szCs w:val="24"/>
              </w:rPr>
            </w:pPr>
          </w:p>
          <w:p w14:paraId="13273E3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3835" w:type="dxa"/>
            <w:tcBorders>
              <w:top w:val="single" w:color="auto" w:sz="4" w:space="0"/>
              <w:left w:val="nil"/>
              <w:bottom w:val="single" w:color="auto" w:sz="4" w:space="0"/>
              <w:right w:val="single" w:color="auto" w:sz="4" w:space="0"/>
            </w:tcBorders>
            <w:noWrap w:val="0"/>
            <w:vAlign w:val="center"/>
          </w:tcPr>
          <w:p w14:paraId="145DB09B">
            <w:pPr>
              <w:spacing w:line="360" w:lineRule="auto"/>
              <w:rPr>
                <w:rFonts w:hint="eastAsia" w:ascii="仿宋" w:hAnsi="仿宋" w:eastAsia="仿宋" w:cs="仿宋"/>
                <w:sz w:val="24"/>
                <w:szCs w:val="24"/>
              </w:rPr>
            </w:pPr>
          </w:p>
        </w:tc>
        <w:tc>
          <w:tcPr>
            <w:tcW w:w="1880" w:type="dxa"/>
            <w:vMerge w:val="continue"/>
            <w:tcBorders>
              <w:top w:val="single" w:color="auto" w:sz="4" w:space="0"/>
              <w:left w:val="single" w:color="auto" w:sz="4" w:space="0"/>
              <w:bottom w:val="single" w:color="auto" w:sz="4" w:space="0"/>
              <w:right w:val="single" w:color="auto" w:sz="4" w:space="0"/>
            </w:tcBorders>
            <w:noWrap w:val="0"/>
            <w:vAlign w:val="center"/>
          </w:tcPr>
          <w:p w14:paraId="3DE00831">
            <w:pPr>
              <w:spacing w:line="360" w:lineRule="auto"/>
              <w:rPr>
                <w:rFonts w:hint="eastAsia" w:ascii="仿宋" w:hAnsi="仿宋" w:eastAsia="仿宋" w:cs="仿宋"/>
                <w:sz w:val="24"/>
                <w:szCs w:val="24"/>
              </w:rPr>
            </w:pPr>
          </w:p>
        </w:tc>
      </w:tr>
    </w:tbl>
    <w:p w14:paraId="25E40187">
      <w:pPr>
        <w:pStyle w:val="2"/>
        <w:ind w:firstLine="640"/>
        <w:rPr>
          <w:rFonts w:hint="eastAsia" w:ascii="仿宋" w:hAnsi="仿宋" w:eastAsia="仿宋" w:cs="仿宋"/>
          <w:sz w:val="32"/>
          <w:szCs w:val="32"/>
        </w:rPr>
      </w:pPr>
    </w:p>
    <w:p w14:paraId="15791868">
      <w:pPr>
        <w:pStyle w:val="2"/>
        <w:ind w:firstLine="640"/>
        <w:rPr>
          <w:rFonts w:hint="eastAsia" w:ascii="仿宋" w:hAnsi="仿宋" w:eastAsia="仿宋" w:cs="仿宋"/>
          <w:sz w:val="32"/>
          <w:szCs w:val="32"/>
        </w:rPr>
      </w:pPr>
    </w:p>
    <w:p w14:paraId="6C0C28AB">
      <w:pPr>
        <w:rPr>
          <w:rFonts w:hint="eastAsia" w:ascii="仿宋" w:hAnsi="仿宋" w:eastAsia="仿宋" w:cs="仿宋"/>
        </w:rPr>
      </w:pPr>
    </w:p>
    <w:p w14:paraId="317754C9">
      <w:pPr>
        <w:pStyle w:val="2"/>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以上人员相关证书原件交业主单位保存，交工验收后退还施工单位。</w:t>
      </w:r>
    </w:p>
    <w:p w14:paraId="05F01636">
      <w:pPr>
        <w:spacing w:line="360" w:lineRule="auto"/>
        <w:rPr>
          <w:rFonts w:hint="eastAsia" w:ascii="仿宋" w:hAnsi="仿宋" w:eastAsia="仿宋" w:cs="仿宋"/>
          <w:sz w:val="32"/>
          <w:szCs w:val="32"/>
        </w:rPr>
      </w:pPr>
    </w:p>
    <w:p w14:paraId="3F0D6BD9">
      <w:pPr>
        <w:rPr>
          <w:rFonts w:hint="eastAsia" w:ascii="仿宋" w:hAnsi="仿宋" w:eastAsia="仿宋" w:cs="仿宋"/>
          <w:color w:val="FF0000"/>
          <w:sz w:val="32"/>
          <w:szCs w:val="32"/>
        </w:rPr>
      </w:pPr>
      <w:r>
        <w:rPr>
          <w:rFonts w:hint="eastAsia" w:ascii="仿宋" w:hAnsi="仿宋" w:eastAsia="仿宋" w:cs="仿宋"/>
          <w:color w:val="FF0000"/>
          <w:sz w:val="32"/>
          <w:szCs w:val="32"/>
        </w:rPr>
        <w:br w:type="page"/>
      </w:r>
    </w:p>
    <w:p w14:paraId="02969943">
      <w:pPr>
        <w:adjustRightInd w:val="0"/>
        <w:snapToGrid w:val="0"/>
        <w:spacing w:line="360" w:lineRule="auto"/>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 xml:space="preserve">      </w:t>
      </w:r>
    </w:p>
    <w:p w14:paraId="55ED6633">
      <w:pPr>
        <w:jc w:val="center"/>
        <w:rPr>
          <w:rFonts w:hint="eastAsia" w:ascii="仿宋" w:hAnsi="仿宋" w:eastAsia="仿宋" w:cs="仿宋"/>
          <w:b/>
          <w:bCs/>
          <w:sz w:val="32"/>
          <w:szCs w:val="32"/>
        </w:rPr>
      </w:pPr>
      <w:bookmarkStart w:id="572" w:name="_Toc11166"/>
      <w:r>
        <w:rPr>
          <w:rFonts w:hint="eastAsia" w:ascii="仿宋" w:hAnsi="仿宋" w:eastAsia="仿宋" w:cs="仿宋"/>
          <w:b/>
          <w:bCs/>
          <w:sz w:val="32"/>
          <w:szCs w:val="32"/>
        </w:rPr>
        <w:t>其他管理和技术人员最低要求</w:t>
      </w:r>
      <w:bookmarkEnd w:id="5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572"/>
        <w:gridCol w:w="5536"/>
      </w:tblGrid>
      <w:tr w14:paraId="07A8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3648DCF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0BE48F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5536" w:type="dxa"/>
            <w:tcBorders>
              <w:top w:val="single" w:color="auto" w:sz="4" w:space="0"/>
              <w:left w:val="single" w:color="auto" w:sz="4" w:space="0"/>
              <w:bottom w:val="single" w:color="auto" w:sz="4" w:space="0"/>
              <w:right w:val="single" w:color="auto" w:sz="4" w:space="0"/>
            </w:tcBorders>
            <w:noWrap w:val="0"/>
            <w:vAlign w:val="center"/>
          </w:tcPr>
          <w:p w14:paraId="22DA7C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资格要求</w:t>
            </w:r>
          </w:p>
        </w:tc>
      </w:tr>
      <w:tr w14:paraId="346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6A583EB1">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施工员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CF0206F">
            <w:pPr>
              <w:spacing w:line="360" w:lineRule="auto"/>
              <w:jc w:val="center"/>
              <w:rPr>
                <w:rFonts w:hint="eastAsia" w:ascii="仿宋" w:hAnsi="仿宋" w:eastAsia="仿宋" w:cs="仿宋"/>
                <w:sz w:val="24"/>
                <w:szCs w:val="24"/>
              </w:rPr>
            </w:pPr>
          </w:p>
        </w:tc>
        <w:tc>
          <w:tcPr>
            <w:tcW w:w="5536" w:type="dxa"/>
            <w:tcBorders>
              <w:top w:val="single" w:color="auto" w:sz="4" w:space="0"/>
              <w:left w:val="single" w:color="auto" w:sz="4" w:space="0"/>
              <w:bottom w:val="single" w:color="auto" w:sz="4" w:space="0"/>
              <w:right w:val="single" w:color="auto" w:sz="4" w:space="0"/>
            </w:tcBorders>
            <w:noWrap w:val="0"/>
            <w:vAlign w:val="center"/>
          </w:tcPr>
          <w:p w14:paraId="1A5686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具备相关专业</w:t>
            </w:r>
            <w:r>
              <w:rPr>
                <w:rFonts w:hint="eastAsia" w:ascii="仿宋" w:hAnsi="仿宋" w:eastAsia="仿宋" w:cs="仿宋"/>
                <w:sz w:val="24"/>
                <w:szCs w:val="24"/>
                <w:lang w:eastAsia="zh-CN"/>
              </w:rPr>
              <w:t>岗位证</w:t>
            </w:r>
          </w:p>
        </w:tc>
      </w:tr>
      <w:tr w14:paraId="2F2A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165E9646">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质量员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F817568">
            <w:pPr>
              <w:spacing w:line="360" w:lineRule="auto"/>
              <w:jc w:val="center"/>
              <w:rPr>
                <w:rFonts w:hint="eastAsia" w:ascii="仿宋" w:hAnsi="仿宋" w:eastAsia="仿宋" w:cs="仿宋"/>
                <w:sz w:val="24"/>
                <w:szCs w:val="24"/>
              </w:rPr>
            </w:pPr>
          </w:p>
        </w:tc>
        <w:tc>
          <w:tcPr>
            <w:tcW w:w="5536" w:type="dxa"/>
            <w:tcBorders>
              <w:top w:val="single" w:color="auto" w:sz="4" w:space="0"/>
              <w:left w:val="single" w:color="auto" w:sz="4" w:space="0"/>
              <w:bottom w:val="single" w:color="auto" w:sz="4" w:space="0"/>
              <w:right w:val="single" w:color="auto" w:sz="4" w:space="0"/>
            </w:tcBorders>
            <w:noWrap w:val="0"/>
            <w:vAlign w:val="center"/>
          </w:tcPr>
          <w:p w14:paraId="0107E8A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具备相关专业</w:t>
            </w:r>
            <w:r>
              <w:rPr>
                <w:rFonts w:hint="eastAsia" w:ascii="仿宋" w:hAnsi="仿宋" w:eastAsia="仿宋" w:cs="仿宋"/>
                <w:sz w:val="24"/>
                <w:szCs w:val="24"/>
                <w:lang w:eastAsia="zh-CN"/>
              </w:rPr>
              <w:t>岗位证</w:t>
            </w:r>
          </w:p>
        </w:tc>
      </w:tr>
      <w:tr w14:paraId="540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710B85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安全员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B44F02A">
            <w:pPr>
              <w:spacing w:line="360" w:lineRule="auto"/>
              <w:jc w:val="center"/>
              <w:rPr>
                <w:rFonts w:hint="eastAsia" w:ascii="仿宋" w:hAnsi="仿宋" w:eastAsia="仿宋" w:cs="仿宋"/>
                <w:sz w:val="24"/>
                <w:szCs w:val="24"/>
              </w:rPr>
            </w:pPr>
          </w:p>
        </w:tc>
        <w:tc>
          <w:tcPr>
            <w:tcW w:w="5536" w:type="dxa"/>
            <w:tcBorders>
              <w:top w:val="single" w:color="auto" w:sz="4" w:space="0"/>
              <w:left w:val="single" w:color="auto" w:sz="4" w:space="0"/>
              <w:bottom w:val="single" w:color="auto" w:sz="4" w:space="0"/>
              <w:right w:val="single" w:color="auto" w:sz="4" w:space="0"/>
            </w:tcBorders>
            <w:noWrap w:val="0"/>
            <w:vAlign w:val="center"/>
          </w:tcPr>
          <w:p w14:paraId="5145BE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具备相关专业</w:t>
            </w:r>
            <w:r>
              <w:rPr>
                <w:rFonts w:hint="eastAsia" w:ascii="仿宋" w:hAnsi="仿宋" w:eastAsia="仿宋" w:cs="仿宋"/>
                <w:sz w:val="24"/>
                <w:szCs w:val="24"/>
                <w:lang w:eastAsia="zh-CN"/>
              </w:rPr>
              <w:t>岗位证</w:t>
            </w:r>
          </w:p>
        </w:tc>
      </w:tr>
      <w:tr w14:paraId="3E84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6C735D2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材料员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8EED6AC">
            <w:pPr>
              <w:spacing w:line="360" w:lineRule="auto"/>
              <w:jc w:val="center"/>
              <w:rPr>
                <w:rFonts w:hint="eastAsia" w:ascii="仿宋" w:hAnsi="仿宋" w:eastAsia="仿宋" w:cs="仿宋"/>
                <w:sz w:val="24"/>
                <w:szCs w:val="24"/>
              </w:rPr>
            </w:pPr>
          </w:p>
        </w:tc>
        <w:tc>
          <w:tcPr>
            <w:tcW w:w="5536" w:type="dxa"/>
            <w:tcBorders>
              <w:top w:val="single" w:color="auto" w:sz="4" w:space="0"/>
              <w:left w:val="single" w:color="auto" w:sz="4" w:space="0"/>
              <w:bottom w:val="single" w:color="auto" w:sz="4" w:space="0"/>
              <w:right w:val="single" w:color="auto" w:sz="4" w:space="0"/>
            </w:tcBorders>
            <w:noWrap w:val="0"/>
            <w:vAlign w:val="center"/>
          </w:tcPr>
          <w:p w14:paraId="3CE8025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具备相关专业</w:t>
            </w:r>
            <w:r>
              <w:rPr>
                <w:rFonts w:hint="eastAsia" w:ascii="仿宋" w:hAnsi="仿宋" w:eastAsia="仿宋" w:cs="仿宋"/>
                <w:sz w:val="24"/>
                <w:szCs w:val="24"/>
                <w:lang w:eastAsia="zh-CN"/>
              </w:rPr>
              <w:t>岗位证</w:t>
            </w:r>
          </w:p>
        </w:tc>
      </w:tr>
      <w:tr w14:paraId="5977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06" w:type="dxa"/>
            <w:tcBorders>
              <w:top w:val="single" w:color="auto" w:sz="4" w:space="0"/>
              <w:left w:val="single" w:color="auto" w:sz="4" w:space="0"/>
              <w:bottom w:val="single" w:color="auto" w:sz="4" w:space="0"/>
              <w:right w:val="single" w:color="auto" w:sz="4" w:space="0"/>
            </w:tcBorders>
            <w:noWrap w:val="0"/>
            <w:vAlign w:val="center"/>
          </w:tcPr>
          <w:p w14:paraId="0D04B62D">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造价员</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FE293DC">
            <w:pPr>
              <w:spacing w:line="360" w:lineRule="auto"/>
              <w:jc w:val="center"/>
              <w:rPr>
                <w:rFonts w:hint="eastAsia" w:ascii="仿宋" w:hAnsi="仿宋" w:eastAsia="仿宋" w:cs="仿宋"/>
                <w:sz w:val="24"/>
                <w:szCs w:val="24"/>
              </w:rPr>
            </w:pPr>
          </w:p>
        </w:tc>
        <w:tc>
          <w:tcPr>
            <w:tcW w:w="5536" w:type="dxa"/>
            <w:tcBorders>
              <w:top w:val="single" w:color="auto" w:sz="4" w:space="0"/>
              <w:left w:val="single" w:color="auto" w:sz="4" w:space="0"/>
              <w:bottom w:val="single" w:color="auto" w:sz="4" w:space="0"/>
              <w:right w:val="single" w:color="auto" w:sz="4" w:space="0"/>
            </w:tcBorders>
            <w:noWrap w:val="0"/>
            <w:vAlign w:val="center"/>
          </w:tcPr>
          <w:p w14:paraId="20D22F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具备相关专业</w:t>
            </w:r>
            <w:r>
              <w:rPr>
                <w:rFonts w:hint="eastAsia" w:ascii="仿宋" w:hAnsi="仿宋" w:eastAsia="仿宋" w:cs="仿宋"/>
                <w:sz w:val="24"/>
                <w:szCs w:val="24"/>
                <w:lang w:eastAsia="zh-CN"/>
              </w:rPr>
              <w:t>岗位证</w:t>
            </w:r>
          </w:p>
        </w:tc>
      </w:tr>
    </w:tbl>
    <w:p w14:paraId="5778BC90">
      <w:pPr>
        <w:adjustRightInd w:val="0"/>
        <w:snapToGrid w:val="0"/>
        <w:spacing w:line="360" w:lineRule="auto"/>
        <w:rPr>
          <w:rFonts w:hint="eastAsia" w:ascii="仿宋" w:hAnsi="仿宋" w:eastAsia="仿宋" w:cs="仿宋"/>
          <w:sz w:val="32"/>
          <w:szCs w:val="32"/>
        </w:rPr>
      </w:pPr>
    </w:p>
    <w:p w14:paraId="222329F2">
      <w:pPr>
        <w:pStyle w:val="2"/>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以上人员相关证书原件交业主单位保存，交工验收后退还施工单位。</w:t>
      </w:r>
      <w:bookmarkStart w:id="573" w:name="_Toc6787"/>
    </w:p>
    <w:p w14:paraId="34628ED9">
      <w:pPr>
        <w:rPr>
          <w:rFonts w:hint="eastAsia" w:ascii="仿宋" w:hAnsi="仿宋" w:eastAsia="仿宋" w:cs="仿宋"/>
          <w:b w:val="0"/>
          <w:szCs w:val="44"/>
        </w:rPr>
      </w:pPr>
      <w:r>
        <w:rPr>
          <w:rFonts w:hint="eastAsia" w:ascii="仿宋" w:hAnsi="仿宋" w:eastAsia="仿宋" w:cs="仿宋"/>
          <w:b w:val="0"/>
          <w:szCs w:val="44"/>
        </w:rPr>
        <w:br w:type="page"/>
      </w:r>
    </w:p>
    <w:p w14:paraId="47989367">
      <w:pPr>
        <w:rPr>
          <w:rFonts w:hint="eastAsia" w:ascii="仿宋" w:hAnsi="仿宋" w:eastAsia="仿宋" w:cs="仿宋"/>
        </w:rPr>
      </w:pPr>
    </w:p>
    <w:p w14:paraId="3E5C4670">
      <w:pPr>
        <w:jc w:val="center"/>
        <w:rPr>
          <w:rFonts w:hint="eastAsia" w:ascii="仿宋" w:hAnsi="仿宋" w:eastAsia="仿宋" w:cs="仿宋"/>
          <w:b/>
          <w:bCs/>
          <w:sz w:val="32"/>
          <w:szCs w:val="32"/>
        </w:rPr>
      </w:pPr>
      <w:r>
        <w:rPr>
          <w:rFonts w:hint="eastAsia" w:ascii="仿宋" w:hAnsi="仿宋" w:eastAsia="仿宋" w:cs="仿宋"/>
          <w:b/>
          <w:bCs/>
          <w:sz w:val="32"/>
          <w:szCs w:val="32"/>
        </w:rPr>
        <w:t>主要机械设备和试验检测设备最低求</w:t>
      </w:r>
      <w:bookmarkEnd w:id="573"/>
    </w:p>
    <w:tbl>
      <w:tblPr>
        <w:tblStyle w:val="27"/>
        <w:tblpPr w:leftFromText="180" w:rightFromText="180" w:vertAnchor="text" w:horzAnchor="page" w:tblpX="1682" w:tblpY="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2687"/>
        <w:gridCol w:w="1152"/>
        <w:gridCol w:w="1730"/>
      </w:tblGrid>
      <w:tr w14:paraId="41EB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3E6D87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6FE49ED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规格、功率及容量</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D4669E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1BBCD5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最低数量要求</w:t>
            </w:r>
          </w:p>
        </w:tc>
      </w:tr>
      <w:tr w14:paraId="13C0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049A1C9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压路机</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D6C5A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5719F8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F46E65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18D2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5545F64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自卸汽车</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62BE49B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075CFF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58ECF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r>
      <w:tr w14:paraId="3487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2AF5446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挖掘机</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6BAF0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3E42E3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1173D6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167C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4FB807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铣刨机</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CC20D7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7FD83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31B75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7A2E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7E0497D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洒水车</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75E0173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22BA5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BF290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74B2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49425B0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刮平机</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0771B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F6BBE1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167C0B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2DD6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4038CB2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湿法作业雾炮车</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82D92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00BEB7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E6460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14:paraId="693C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72B63ED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振动压实成型仪</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AB304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B6675D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568BF7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7AA7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3224627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标准恒温恒时养护箱</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476DF70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2764E0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5D397C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1A75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659BD14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水准仪</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479A86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C3C24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85D2B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4D0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683" w:type="dxa"/>
            <w:tcBorders>
              <w:top w:val="single" w:color="auto" w:sz="4" w:space="0"/>
              <w:left w:val="single" w:color="auto" w:sz="4" w:space="0"/>
              <w:bottom w:val="single" w:color="auto" w:sz="4" w:space="0"/>
              <w:right w:val="single" w:color="auto" w:sz="4" w:space="0"/>
            </w:tcBorders>
            <w:noWrap w:val="0"/>
            <w:vAlign w:val="center"/>
          </w:tcPr>
          <w:p w14:paraId="2D3E900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全站仪</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694CDF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满足项目要求</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B0C54F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18FF7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bl>
    <w:p w14:paraId="239AE17D">
      <w:pPr>
        <w:spacing w:line="360" w:lineRule="auto"/>
        <w:jc w:val="center"/>
        <w:rPr>
          <w:rFonts w:hint="eastAsia" w:ascii="仿宋" w:hAnsi="仿宋" w:eastAsia="仿宋" w:cs="仿宋"/>
          <w:sz w:val="44"/>
          <w:szCs w:val="44"/>
        </w:rPr>
      </w:pPr>
    </w:p>
    <w:p w14:paraId="33AEEBCE">
      <w:pPr>
        <w:spacing w:line="360" w:lineRule="auto"/>
        <w:jc w:val="center"/>
        <w:outlineLvl w:val="0"/>
        <w:rPr>
          <w:rFonts w:hint="eastAsia" w:ascii="仿宋" w:hAnsi="仿宋" w:eastAsia="仿宋" w:cs="仿宋"/>
          <w:b/>
          <w:bCs/>
          <w:sz w:val="32"/>
          <w:szCs w:val="32"/>
        </w:rPr>
      </w:pPr>
      <w:bookmarkStart w:id="574" w:name="_Toc10674"/>
      <w:bookmarkStart w:id="575" w:name="_Toc14346"/>
      <w:r>
        <w:rPr>
          <w:rFonts w:hint="eastAsia" w:ascii="仿宋" w:hAnsi="仿宋" w:eastAsia="仿宋" w:cs="仿宋"/>
          <w:sz w:val="44"/>
          <w:szCs w:val="44"/>
        </w:rPr>
        <w:br w:type="page"/>
      </w:r>
      <w:bookmarkStart w:id="576" w:name="_Toc8150"/>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"http://news.9ask.cn/ldjf/gongshangdaiyu/gz/201103/1129828.shtml"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建设工程农民工工资支付承诺书</w:t>
      </w:r>
      <w:r>
        <w:rPr>
          <w:rFonts w:hint="eastAsia" w:ascii="仿宋" w:hAnsi="仿宋" w:eastAsia="仿宋" w:cs="仿宋"/>
          <w:b/>
          <w:bCs/>
          <w:sz w:val="32"/>
          <w:szCs w:val="32"/>
        </w:rPr>
        <w:fldChar w:fldCharType="end"/>
      </w:r>
      <w:bookmarkEnd w:id="574"/>
      <w:bookmarkEnd w:id="575"/>
      <w:bookmarkEnd w:id="576"/>
    </w:p>
    <w:p w14:paraId="58588F40">
      <w:pPr>
        <w:pStyle w:val="23"/>
        <w:spacing w:line="600" w:lineRule="exact"/>
        <w:rPr>
          <w:rFonts w:hint="eastAsia" w:ascii="仿宋" w:hAnsi="仿宋" w:eastAsia="仿宋" w:cs="仿宋"/>
          <w:sz w:val="24"/>
          <w:szCs w:val="24"/>
          <w:u w:val="single"/>
        </w:rPr>
      </w:pPr>
      <w:r>
        <w:rPr>
          <w:rFonts w:hint="eastAsia" w:ascii="仿宋" w:hAnsi="仿宋" w:eastAsia="仿宋" w:cs="仿宋"/>
          <w:sz w:val="24"/>
          <w:szCs w:val="24"/>
        </w:rPr>
        <w:t>发包单位(全称)：</w:t>
      </w:r>
      <w:r>
        <w:rPr>
          <w:rFonts w:hint="eastAsia" w:ascii="仿宋" w:hAnsi="仿宋" w:eastAsia="仿宋" w:cs="仿宋"/>
          <w:sz w:val="24"/>
          <w:szCs w:val="24"/>
          <w:u w:val="single"/>
        </w:rPr>
        <w:t xml:space="preserve"> 荥阳市交通运输局                     </w:t>
      </w:r>
    </w:p>
    <w:p w14:paraId="21198D13">
      <w:pPr>
        <w:pStyle w:val="23"/>
        <w:spacing w:line="6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承包单位(全称)：</w:t>
      </w:r>
      <w:r>
        <w:rPr>
          <w:rFonts w:hint="eastAsia" w:ascii="仿宋" w:hAnsi="仿宋" w:eastAsia="仿宋" w:cs="仿宋"/>
          <w:sz w:val="24"/>
          <w:szCs w:val="24"/>
          <w:u w:val="single"/>
        </w:rPr>
        <w:t xml:space="preserve">                                       </w:t>
      </w:r>
    </w:p>
    <w:p w14:paraId="483366F9">
      <w:pPr>
        <w:pStyle w:val="23"/>
        <w:adjustRightInd w:val="0"/>
        <w:spacing w:before="0" w:beforeAutospacing="0" w:after="0" w:afterAutospacing="0" w:line="600" w:lineRule="exact"/>
        <w:ind w:left="105" w:leftChars="50"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我单位</w:t>
      </w:r>
      <w:r>
        <w:rPr>
          <w:rFonts w:hint="eastAsia" w:ascii="仿宋" w:hAnsi="仿宋" w:eastAsia="仿宋" w:cs="仿宋"/>
          <w:color w:val="333333"/>
          <w:sz w:val="24"/>
          <w:szCs w:val="24"/>
          <w:u w:val="single"/>
          <w:lang w:val="en-US" w:eastAsia="zh-CN"/>
        </w:rPr>
        <w:t xml:space="preserve">                             </w:t>
      </w:r>
      <w:r>
        <w:rPr>
          <w:rFonts w:hint="eastAsia" w:ascii="仿宋" w:hAnsi="仿宋" w:eastAsia="仿宋" w:cs="仿宋"/>
          <w:color w:val="333333"/>
          <w:sz w:val="24"/>
          <w:szCs w:val="24"/>
        </w:rPr>
        <w:t>在此郑重承诺：</w:t>
      </w:r>
    </w:p>
    <w:p w14:paraId="751709CB">
      <w:pPr>
        <w:pStyle w:val="23"/>
        <w:numPr>
          <w:ilvl w:val="0"/>
          <w:numId w:val="3"/>
        </w:numPr>
        <w:adjustRightInd w:val="0"/>
        <w:spacing w:before="0" w:beforeAutospacing="0" w:after="0" w:afterAutospacing="0" w:line="600" w:lineRule="exact"/>
        <w:ind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严格落实农民工工资管理“一金三制”相关要求。</w:t>
      </w:r>
    </w:p>
    <w:p w14:paraId="22E29A63">
      <w:pPr>
        <w:pStyle w:val="23"/>
        <w:numPr>
          <w:ilvl w:val="0"/>
          <w:numId w:val="3"/>
        </w:numPr>
        <w:adjustRightInd w:val="0"/>
        <w:spacing w:before="0" w:beforeAutospacing="0" w:after="0" w:afterAutospacing="0" w:line="600" w:lineRule="exact"/>
        <w:ind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开工前与农民工签订劳动合同。</w:t>
      </w:r>
    </w:p>
    <w:p w14:paraId="3B72C9D1">
      <w:pPr>
        <w:pStyle w:val="23"/>
        <w:adjustRightInd w:val="0"/>
        <w:spacing w:before="0" w:beforeAutospacing="0" w:after="0" w:afterAutospacing="0" w:line="600" w:lineRule="exact"/>
        <w:ind w:left="585"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三、按月支付农民工工资、加班加点工资。</w:t>
      </w:r>
    </w:p>
    <w:p w14:paraId="0BD55670">
      <w:pPr>
        <w:pStyle w:val="23"/>
        <w:adjustRightInd w:val="0"/>
        <w:spacing w:before="0" w:beforeAutospacing="0" w:after="0" w:afterAutospacing="0" w:line="600" w:lineRule="exact"/>
        <w:ind w:left="585"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四、支付农民工工资不低于河南省最低工资标准。</w:t>
      </w:r>
    </w:p>
    <w:p w14:paraId="4673E6CE">
      <w:pPr>
        <w:pStyle w:val="23"/>
        <w:adjustRightInd w:val="0"/>
        <w:spacing w:before="0" w:beforeAutospacing="0" w:after="0" w:afterAutospacing="0" w:line="600" w:lineRule="exact"/>
        <w:ind w:left="585"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五、不无故拖欠、克扣农民工工资。</w:t>
      </w:r>
    </w:p>
    <w:p w14:paraId="0B12E1B4">
      <w:pPr>
        <w:pStyle w:val="23"/>
        <w:adjustRightInd w:val="0"/>
        <w:spacing w:before="0" w:beforeAutospacing="0" w:after="0" w:afterAutospacing="0" w:line="600" w:lineRule="exact"/>
        <w:ind w:left="585"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六、坚决不侵害农民工劳动报酬的合法权益。</w:t>
      </w:r>
    </w:p>
    <w:p w14:paraId="627B8DF9">
      <w:pPr>
        <w:pStyle w:val="23"/>
        <w:adjustRightInd w:val="0"/>
        <w:spacing w:before="0" w:beforeAutospacing="0" w:after="0" w:afterAutospacing="0" w:line="600" w:lineRule="exact"/>
        <w:ind w:left="585" w:right="-105" w:rightChars="-50"/>
        <w:rPr>
          <w:rFonts w:hint="eastAsia" w:ascii="仿宋" w:hAnsi="仿宋" w:eastAsia="仿宋" w:cs="仿宋"/>
          <w:color w:val="333333"/>
          <w:sz w:val="24"/>
          <w:szCs w:val="24"/>
        </w:rPr>
      </w:pPr>
      <w:r>
        <w:rPr>
          <w:rFonts w:hint="eastAsia" w:ascii="仿宋" w:hAnsi="仿宋" w:eastAsia="仿宋" w:cs="仿宋"/>
          <w:color w:val="333333"/>
          <w:sz w:val="24"/>
          <w:szCs w:val="24"/>
        </w:rPr>
        <w:t>七、若有拖欠、克扣农民工工资、加班加点工资及侵害农民工劳动报酬权益的行为，经有关部门查证属实后，自愿从工资保障金中支付，</w:t>
      </w:r>
      <w:r>
        <w:rPr>
          <w:rFonts w:hint="eastAsia" w:ascii="仿宋" w:hAnsi="仿宋" w:eastAsia="仿宋" w:cs="仿宋"/>
          <w:color w:val="000000"/>
          <w:sz w:val="24"/>
          <w:szCs w:val="24"/>
        </w:rPr>
        <w:t>且在5日内补足</w:t>
      </w:r>
      <w:r>
        <w:rPr>
          <w:rFonts w:hint="eastAsia" w:ascii="仿宋" w:hAnsi="仿宋" w:eastAsia="仿宋" w:cs="仿宋"/>
          <w:color w:val="333333"/>
          <w:sz w:val="24"/>
          <w:szCs w:val="24"/>
        </w:rPr>
        <w:t>保障金。</w:t>
      </w:r>
    </w:p>
    <w:p w14:paraId="7E9ACFF2">
      <w:pPr>
        <w:pStyle w:val="23"/>
        <w:adjustRightInd w:val="0"/>
        <w:spacing w:before="0" w:beforeAutospacing="0" w:after="0" w:afterAutospacing="0" w:line="600" w:lineRule="exact"/>
        <w:ind w:left="1905" w:leftChars="50" w:right="-105" w:rightChars="-50" w:hanging="1800" w:hangingChars="750"/>
        <w:rPr>
          <w:rFonts w:hint="eastAsia" w:ascii="仿宋" w:hAnsi="仿宋" w:eastAsia="仿宋" w:cs="仿宋"/>
          <w:color w:val="333333"/>
          <w:sz w:val="24"/>
          <w:szCs w:val="24"/>
        </w:rPr>
      </w:pPr>
      <w:r>
        <w:rPr>
          <w:rFonts w:hint="eastAsia" w:ascii="仿宋" w:hAnsi="仿宋" w:eastAsia="仿宋" w:cs="仿宋"/>
          <w:color w:val="333333"/>
          <w:sz w:val="24"/>
          <w:szCs w:val="24"/>
        </w:rPr>
        <w:t>　</w:t>
      </w:r>
    </w:p>
    <w:p w14:paraId="2DEDFF69">
      <w:pPr>
        <w:pStyle w:val="23"/>
        <w:adjustRightInd w:val="0"/>
        <w:spacing w:before="0" w:beforeAutospacing="0" w:after="0" w:afterAutospacing="0" w:line="480" w:lineRule="auto"/>
        <w:ind w:left="2624" w:leftChars="278" w:right="-105" w:rightChars="-50" w:hanging="2040" w:hangingChars="850"/>
        <w:rPr>
          <w:rFonts w:hint="eastAsia" w:ascii="仿宋" w:hAnsi="仿宋" w:eastAsia="仿宋" w:cs="仿宋"/>
          <w:color w:val="333333"/>
          <w:sz w:val="24"/>
          <w:szCs w:val="24"/>
        </w:rPr>
      </w:pPr>
      <w:r>
        <w:rPr>
          <w:rFonts w:hint="eastAsia" w:ascii="仿宋" w:hAnsi="仿宋" w:eastAsia="仿宋" w:cs="仿宋"/>
          <w:color w:val="333333"/>
          <w:sz w:val="24"/>
          <w:szCs w:val="24"/>
        </w:rPr>
        <w:t>发包单位：</w:t>
      </w:r>
      <w:r>
        <w:rPr>
          <w:rFonts w:hint="eastAsia" w:ascii="仿宋" w:hAnsi="仿宋" w:eastAsia="仿宋" w:cs="仿宋"/>
          <w:color w:val="333333"/>
          <w:sz w:val="24"/>
          <w:szCs w:val="24"/>
          <w:u w:val="single"/>
        </w:rPr>
        <w:t xml:space="preserve">荥阳市交通运输局 </w:t>
      </w:r>
      <w:r>
        <w:rPr>
          <w:rFonts w:hint="eastAsia" w:ascii="仿宋" w:hAnsi="仿宋" w:eastAsia="仿宋" w:cs="仿宋"/>
          <w:color w:val="333333"/>
          <w:sz w:val="24"/>
          <w:szCs w:val="24"/>
        </w:rPr>
        <w:t>(公章)    承包单位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(公章)</w:t>
      </w:r>
    </w:p>
    <w:p w14:paraId="6A812FDF">
      <w:pPr>
        <w:pStyle w:val="23"/>
        <w:adjustRightInd w:val="0"/>
        <w:spacing w:before="0" w:beforeAutospacing="0" w:after="0" w:afterAutospacing="0" w:line="480" w:lineRule="auto"/>
        <w:ind w:left="1904" w:leftChars="278" w:right="-105" w:rightChars="-50" w:hanging="1320" w:hangingChars="550"/>
        <w:rPr>
          <w:rFonts w:hint="eastAsia" w:ascii="仿宋" w:hAnsi="仿宋" w:eastAsia="仿宋" w:cs="仿宋"/>
          <w:color w:val="333333"/>
          <w:sz w:val="24"/>
          <w:szCs w:val="24"/>
        </w:rPr>
      </w:pPr>
      <w:r>
        <w:rPr>
          <w:rFonts w:hint="eastAsia" w:ascii="仿宋" w:hAnsi="仿宋" w:eastAsia="仿宋" w:cs="仿宋"/>
          <w:color w:val="333333"/>
          <w:sz w:val="24"/>
          <w:szCs w:val="24"/>
        </w:rPr>
        <w:t xml:space="preserve">法定代表人或                 </w:t>
      </w:r>
      <w:r>
        <w:rPr>
          <w:rFonts w:hint="eastAsia" w:ascii="仿宋" w:hAnsi="仿宋" w:eastAsia="仿宋" w:cs="仿宋"/>
          <w:color w:val="333333"/>
          <w:sz w:val="24"/>
          <w:szCs w:val="24"/>
          <w:lang w:val="en-US" w:eastAsia="zh-CN"/>
        </w:rPr>
        <w:t xml:space="preserve">      </w:t>
      </w:r>
      <w:r>
        <w:rPr>
          <w:rFonts w:hint="eastAsia" w:ascii="仿宋" w:hAnsi="仿宋" w:eastAsia="仿宋" w:cs="仿宋"/>
          <w:color w:val="333333"/>
          <w:sz w:val="24"/>
          <w:szCs w:val="24"/>
        </w:rPr>
        <w:t xml:space="preserve">  法定代表人或</w:t>
      </w:r>
    </w:p>
    <w:p w14:paraId="26E96147">
      <w:pPr>
        <w:pStyle w:val="23"/>
        <w:adjustRightInd w:val="0"/>
        <w:spacing w:before="0" w:beforeAutospacing="0" w:after="0" w:afterAutospacing="0" w:line="480" w:lineRule="auto"/>
        <w:ind w:left="1904" w:leftChars="278" w:right="-105" w:rightChars="-50" w:hanging="1320" w:hangingChars="550"/>
        <w:rPr>
          <w:rFonts w:hint="eastAsia" w:ascii="仿宋" w:hAnsi="仿宋" w:eastAsia="仿宋" w:cs="仿宋"/>
          <w:sz w:val="24"/>
          <w:szCs w:val="24"/>
          <w:u w:val="single"/>
        </w:rPr>
      </w:pPr>
      <w:r>
        <w:rPr>
          <w:rFonts w:hint="eastAsia" w:ascii="仿宋" w:hAnsi="仿宋" w:eastAsia="仿宋" w:cs="仿宋"/>
          <w:color w:val="333333"/>
          <w:sz w:val="24"/>
          <w:szCs w:val="24"/>
        </w:rPr>
        <w:t>委托代理人(签字)：</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 xml:space="preserve">   </w:t>
      </w:r>
      <w:r>
        <w:rPr>
          <w:rFonts w:hint="eastAsia" w:ascii="仿宋" w:hAnsi="仿宋" w:eastAsia="仿宋" w:cs="仿宋"/>
          <w:color w:val="333333"/>
          <w:sz w:val="24"/>
          <w:szCs w:val="24"/>
          <w:lang w:val="en-US" w:eastAsia="zh-CN"/>
        </w:rPr>
        <w:t xml:space="preserve">      </w:t>
      </w:r>
      <w:r>
        <w:rPr>
          <w:rFonts w:hint="eastAsia" w:ascii="仿宋" w:hAnsi="仿宋" w:eastAsia="仿宋" w:cs="仿宋"/>
          <w:color w:val="333333"/>
          <w:sz w:val="24"/>
          <w:szCs w:val="24"/>
        </w:rPr>
        <w:t xml:space="preserve"> 委托代理人(签字)：</w:t>
      </w:r>
      <w:r>
        <w:rPr>
          <w:rFonts w:hint="eastAsia" w:ascii="仿宋" w:hAnsi="仿宋" w:eastAsia="仿宋" w:cs="仿宋"/>
          <w:color w:val="333333"/>
          <w:sz w:val="24"/>
          <w:szCs w:val="24"/>
          <w:u w:val="single"/>
        </w:rPr>
        <w:t xml:space="preserve">        </w:t>
      </w:r>
    </w:p>
    <w:p w14:paraId="20B727CF">
      <w:pPr>
        <w:pStyle w:val="23"/>
        <w:adjustRightInd w:val="0"/>
        <w:spacing w:before="0" w:beforeAutospacing="0" w:after="0" w:afterAutospacing="0" w:line="480" w:lineRule="auto"/>
        <w:ind w:right="-105" w:rightChars="-50" w:firstLine="1200" w:firstLineChars="500"/>
        <w:rPr>
          <w:rFonts w:hint="eastAsia" w:ascii="仿宋" w:hAnsi="仿宋" w:eastAsia="仿宋" w:cs="仿宋"/>
          <w:sz w:val="24"/>
          <w:szCs w:val="24"/>
        </w:rPr>
      </w:pPr>
      <w:r>
        <w:rPr>
          <w:rFonts w:hint="eastAsia" w:ascii="仿宋" w:hAnsi="仿宋" w:eastAsia="仿宋" w:cs="仿宋"/>
          <w:sz w:val="24"/>
          <w:szCs w:val="24"/>
        </w:rPr>
        <w:t xml:space="preserve">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r>
        <w:rPr>
          <w:rFonts w:hint="eastAsia" w:ascii="仿宋" w:hAnsi="仿宋" w:eastAsia="仿宋" w:cs="仿宋"/>
          <w:sz w:val="24"/>
          <w:szCs w:val="24"/>
        </w:rPr>
        <w:br w:type="textWrapping"/>
      </w:r>
    </w:p>
    <w:p w14:paraId="61C66312">
      <w:pPr>
        <w:pStyle w:val="23"/>
        <w:adjustRightInd w:val="0"/>
        <w:spacing w:before="0" w:beforeAutospacing="0" w:after="0" w:afterAutospacing="0" w:line="360" w:lineRule="auto"/>
        <w:ind w:right="-105" w:rightChars="-50" w:firstLine="1400" w:firstLineChars="500"/>
        <w:rPr>
          <w:rFonts w:hint="eastAsia" w:ascii="仿宋" w:hAnsi="仿宋" w:eastAsia="仿宋" w:cs="仿宋"/>
          <w:color w:val="auto"/>
          <w:sz w:val="28"/>
          <w:szCs w:val="28"/>
        </w:rPr>
      </w:pPr>
    </w:p>
    <w:p w14:paraId="3A563E50">
      <w:pPr>
        <w:ind w:firstLine="420" w:firstLineChars="200"/>
        <w:outlineLvl w:val="0"/>
        <w:rPr>
          <w:rFonts w:hint="eastAsia" w:ascii="仿宋" w:hAnsi="仿宋" w:eastAsia="仿宋" w:cs="仿宋"/>
          <w:color w:val="auto"/>
          <w:szCs w:val="21"/>
          <w:highlight w:val="none"/>
        </w:rPr>
        <w:sectPr>
          <w:footerReference r:id="rId18" w:type="default"/>
          <w:pgSz w:w="12240" w:h="15840"/>
          <w:pgMar w:top="1440" w:right="1610" w:bottom="1440" w:left="1559" w:header="0" w:footer="907" w:gutter="0"/>
          <w:pgNumType w:fmt="decimal"/>
          <w:cols w:space="720" w:num="1"/>
        </w:sectPr>
      </w:pPr>
    </w:p>
    <w:p w14:paraId="58F0D715">
      <w:pPr>
        <w:numPr>
          <w:ilvl w:val="0"/>
          <w:numId w:val="0"/>
        </w:numPr>
        <w:ind w:firstLine="643" w:firstLineChars="200"/>
        <w:jc w:val="center"/>
        <w:outlineLvl w:val="0"/>
        <w:rPr>
          <w:rFonts w:hint="eastAsia" w:ascii="仿宋" w:hAnsi="仿宋" w:eastAsia="仿宋" w:cs="仿宋"/>
          <w:b/>
          <w:bCs/>
          <w:color w:val="auto"/>
          <w:sz w:val="32"/>
          <w:szCs w:val="32"/>
          <w:highlight w:val="none"/>
          <w:lang w:val="en-US" w:eastAsia="zh-CN"/>
        </w:rPr>
      </w:pPr>
      <w:bookmarkStart w:id="577" w:name="_Toc9936"/>
      <w:r>
        <w:rPr>
          <w:rFonts w:hint="eastAsia" w:ascii="仿宋" w:hAnsi="仿宋" w:eastAsia="仿宋" w:cs="仿宋"/>
          <w:b/>
          <w:bCs/>
          <w:color w:val="auto"/>
          <w:kern w:val="2"/>
          <w:sz w:val="32"/>
          <w:szCs w:val="32"/>
          <w:highlight w:val="none"/>
          <w:lang w:val="en-US" w:eastAsia="zh-CN" w:bidi="ar-SA"/>
        </w:rPr>
        <w:t>第五章</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工程量清单（另附）</w:t>
      </w:r>
    </w:p>
    <w:bookmarkEnd w:id="577"/>
    <w:p w14:paraId="2EC59829">
      <w:pPr>
        <w:numPr>
          <w:ilvl w:val="0"/>
          <w:numId w:val="0"/>
        </w:numPr>
        <w:ind w:firstLine="643" w:firstLineChars="200"/>
        <w:jc w:val="center"/>
        <w:outlineLvl w:val="0"/>
        <w:rPr>
          <w:rFonts w:hint="eastAsia" w:ascii="仿宋" w:hAnsi="仿宋" w:eastAsia="仿宋" w:cs="仿宋"/>
          <w:b/>
          <w:bCs/>
          <w:color w:val="auto"/>
          <w:sz w:val="32"/>
          <w:szCs w:val="32"/>
          <w:highlight w:val="none"/>
          <w:lang w:val="en-US" w:eastAsia="zh-CN"/>
        </w:rPr>
      </w:pPr>
    </w:p>
    <w:p w14:paraId="044D4189">
      <w:pPr>
        <w:pStyle w:val="3"/>
        <w:snapToGrid w:val="0"/>
        <w:spacing w:before="0" w:after="0" w:line="360" w:lineRule="auto"/>
        <w:jc w:val="both"/>
        <w:rPr>
          <w:rFonts w:hint="eastAsia" w:ascii="仿宋" w:hAnsi="仿宋" w:eastAsia="仿宋" w:cs="仿宋"/>
          <w:b/>
          <w:bCs/>
          <w:color w:val="auto"/>
          <w:sz w:val="24"/>
          <w:szCs w:val="24"/>
          <w:highlight w:val="none"/>
          <w:lang w:val="zh-CN"/>
        </w:rPr>
        <w:sectPr>
          <w:pgSz w:w="12240" w:h="15840"/>
          <w:pgMar w:top="1440" w:right="1610" w:bottom="1440" w:left="1559" w:header="0" w:footer="907" w:gutter="0"/>
          <w:pgNumType w:fmt="decimal"/>
          <w:cols w:space="720" w:num="1"/>
        </w:sectPr>
      </w:pPr>
      <w:bookmarkStart w:id="578" w:name="_Toc152045785"/>
      <w:bookmarkStart w:id="579" w:name="_Toc21206"/>
      <w:bookmarkStart w:id="580" w:name="_Toc19885"/>
      <w:bookmarkStart w:id="581" w:name="_Toc144974854"/>
      <w:bookmarkStart w:id="582" w:name="_Toc152042574"/>
    </w:p>
    <w:p w14:paraId="5E786373">
      <w:pPr>
        <w:numPr>
          <w:ilvl w:val="0"/>
          <w:numId w:val="0"/>
        </w:numPr>
        <w:ind w:firstLine="640" w:firstLineChars="200"/>
        <w:jc w:val="center"/>
        <w:outlineLvl w:val="0"/>
        <w:rPr>
          <w:rFonts w:hint="default" w:ascii="仿宋" w:hAnsi="仿宋" w:eastAsia="仿宋" w:cs="仿宋"/>
          <w:b/>
          <w:bCs/>
          <w:color w:val="auto"/>
          <w:kern w:val="2"/>
          <w:sz w:val="32"/>
          <w:szCs w:val="32"/>
          <w:highlight w:val="none"/>
          <w:lang w:val="en-US" w:eastAsia="zh-CN" w:bidi="ar-SA"/>
        </w:rPr>
      </w:pPr>
      <w:bookmarkStart w:id="583" w:name="_Toc10351"/>
      <w:r>
        <w:rPr>
          <w:rFonts w:hint="eastAsia" w:ascii="仿宋" w:hAnsi="仿宋" w:eastAsia="仿宋" w:cs="仿宋"/>
          <w:b/>
          <w:bCs/>
          <w:color w:val="auto"/>
          <w:kern w:val="2"/>
          <w:sz w:val="32"/>
          <w:szCs w:val="32"/>
          <w:highlight w:val="none"/>
          <w:lang w:val="zh-CN" w:eastAsia="zh-CN" w:bidi="ar-SA"/>
        </w:rPr>
        <w:t>第</w:t>
      </w: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color w:val="auto"/>
          <w:kern w:val="2"/>
          <w:sz w:val="32"/>
          <w:szCs w:val="32"/>
          <w:highlight w:val="none"/>
          <w:lang w:val="zh-CN" w:eastAsia="zh-CN" w:bidi="ar-SA"/>
        </w:rPr>
        <w:t>章</w:t>
      </w:r>
      <w:r>
        <w:rPr>
          <w:rFonts w:hint="eastAsia" w:ascii="仿宋" w:hAnsi="仿宋" w:eastAsia="仿宋" w:cs="仿宋"/>
          <w:b/>
          <w:bCs/>
          <w:color w:val="auto"/>
          <w:kern w:val="2"/>
          <w:sz w:val="32"/>
          <w:szCs w:val="32"/>
          <w:highlight w:val="none"/>
          <w:lang w:val="en-US" w:eastAsia="zh-CN" w:bidi="ar-SA"/>
        </w:rPr>
        <w:t xml:space="preserve">  图纸（另附）</w:t>
      </w:r>
      <w:bookmarkEnd w:id="583"/>
    </w:p>
    <w:p w14:paraId="567A01B7">
      <w:pPr>
        <w:rPr>
          <w:rFonts w:hint="eastAsia" w:ascii="仿宋" w:hAnsi="仿宋" w:eastAsia="仿宋" w:cs="仿宋"/>
          <w:b/>
          <w:bCs/>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br w:type="page"/>
      </w:r>
    </w:p>
    <w:p w14:paraId="28145ED7">
      <w:pPr>
        <w:pStyle w:val="3"/>
        <w:numPr>
          <w:ilvl w:val="0"/>
          <w:numId w:val="0"/>
        </w:numPr>
        <w:snapToGrid w:val="0"/>
        <w:spacing w:before="0" w:after="0" w:line="360" w:lineRule="auto"/>
        <w:ind w:left="0" w:leftChars="0" w:firstLine="640" w:firstLineChars="200"/>
        <w:jc w:val="center"/>
        <w:rPr>
          <w:rFonts w:hint="eastAsia" w:ascii="仿宋" w:hAnsi="仿宋" w:eastAsia="仿宋" w:cs="仿宋"/>
          <w:b/>
          <w:bCs/>
          <w:color w:val="auto"/>
          <w:kern w:val="2"/>
          <w:sz w:val="32"/>
          <w:szCs w:val="32"/>
          <w:highlight w:val="none"/>
          <w:lang w:val="zh-CN" w:eastAsia="zh-CN" w:bidi="ar-SA"/>
        </w:rPr>
      </w:pPr>
      <w:bookmarkStart w:id="584" w:name="_Toc18139"/>
      <w:r>
        <w:rPr>
          <w:rFonts w:hint="eastAsia" w:ascii="仿宋" w:hAnsi="仿宋" w:eastAsia="仿宋" w:cs="仿宋"/>
          <w:b/>
          <w:bCs/>
          <w:color w:val="auto"/>
          <w:kern w:val="2"/>
          <w:sz w:val="32"/>
          <w:szCs w:val="32"/>
          <w:highlight w:val="none"/>
          <w:lang w:val="zh-CN" w:eastAsia="zh-CN" w:bidi="ar-SA"/>
        </w:rPr>
        <w:t>第</w:t>
      </w:r>
      <w:r>
        <w:rPr>
          <w:rFonts w:hint="eastAsia" w:ascii="仿宋" w:hAnsi="仿宋" w:eastAsia="仿宋" w:cs="仿宋"/>
          <w:b/>
          <w:bCs/>
          <w:color w:val="auto"/>
          <w:kern w:val="2"/>
          <w:sz w:val="32"/>
          <w:szCs w:val="32"/>
          <w:highlight w:val="none"/>
          <w:lang w:val="en-US" w:eastAsia="zh-CN" w:bidi="ar-SA"/>
        </w:rPr>
        <w:t>七</w:t>
      </w:r>
      <w:r>
        <w:rPr>
          <w:rFonts w:hint="eastAsia" w:ascii="仿宋" w:hAnsi="仿宋" w:eastAsia="仿宋" w:cs="仿宋"/>
          <w:b/>
          <w:bCs/>
          <w:color w:val="auto"/>
          <w:kern w:val="2"/>
          <w:sz w:val="32"/>
          <w:szCs w:val="32"/>
          <w:highlight w:val="none"/>
          <w:lang w:val="zh-CN" w:eastAsia="zh-CN" w:bidi="ar-SA"/>
        </w:rPr>
        <w:t>章</w:t>
      </w:r>
      <w:r>
        <w:rPr>
          <w:rFonts w:hint="eastAsia" w:ascii="仿宋" w:hAnsi="仿宋" w:eastAsia="仿宋" w:cs="仿宋"/>
          <w:b/>
          <w:bCs/>
          <w:color w:val="auto"/>
          <w:kern w:val="2"/>
          <w:sz w:val="32"/>
          <w:szCs w:val="32"/>
          <w:highlight w:val="none"/>
          <w:lang w:val="en-US" w:eastAsia="zh-CN" w:bidi="ar-SA"/>
        </w:rPr>
        <w:t xml:space="preserve"> </w:t>
      </w:r>
      <w:r>
        <w:rPr>
          <w:rFonts w:hint="eastAsia" w:ascii="仿宋" w:hAnsi="仿宋" w:eastAsia="仿宋" w:cs="仿宋"/>
          <w:b/>
          <w:bCs/>
          <w:color w:val="auto"/>
          <w:kern w:val="2"/>
          <w:sz w:val="32"/>
          <w:szCs w:val="32"/>
          <w:highlight w:val="none"/>
          <w:lang w:val="zh-CN" w:eastAsia="zh-CN" w:bidi="ar-SA"/>
        </w:rPr>
        <w:t>技术标准和要求</w:t>
      </w:r>
      <w:bookmarkEnd w:id="578"/>
      <w:bookmarkEnd w:id="579"/>
      <w:bookmarkEnd w:id="580"/>
      <w:bookmarkEnd w:id="581"/>
      <w:bookmarkEnd w:id="582"/>
      <w:bookmarkEnd w:id="584"/>
    </w:p>
    <w:p w14:paraId="13006D7A">
      <w:pPr>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1.一般规定</w:t>
      </w:r>
    </w:p>
    <w:p w14:paraId="44F2575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F5F867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合同中约定的任何</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应按照其中要求最严格的标准执行。材料、施工工艺和本工程都应依照本工程规范和技术说明以及相关国家规范、规程和标准的最新版本；或把最新版本的要求当作对</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工作的最起码要求，而执行更高的标准。</w:t>
      </w:r>
    </w:p>
    <w:p w14:paraId="1721C2A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未尽项均执行现行规范及标准,以上规范如有变化，以最新发布的为准。</w:t>
      </w:r>
    </w:p>
    <w:p w14:paraId="786EAA58">
      <w:pPr>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2.现行有效的主要设计和施工验收规范索引</w:t>
      </w:r>
    </w:p>
    <w:p w14:paraId="6A5CCA7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自行购买或收集】</w:t>
      </w:r>
    </w:p>
    <w:p w14:paraId="0E12DD44">
      <w:pPr>
        <w:pStyle w:val="43"/>
        <w:jc w:val="center"/>
        <w:rPr>
          <w:rFonts w:hint="eastAsia" w:ascii="仿宋" w:hAnsi="仿宋" w:eastAsia="仿宋" w:cs="仿宋"/>
          <w:b/>
          <w:bCs/>
          <w:color w:val="auto"/>
          <w:sz w:val="21"/>
          <w:szCs w:val="21"/>
          <w:highlight w:val="none"/>
          <w:lang w:val="zh-CN"/>
        </w:rPr>
      </w:pPr>
    </w:p>
    <w:p w14:paraId="7422CDD9">
      <w:pPr>
        <w:pStyle w:val="43"/>
        <w:jc w:val="center"/>
        <w:rPr>
          <w:rFonts w:hint="eastAsia" w:ascii="仿宋" w:hAnsi="仿宋" w:eastAsia="仿宋" w:cs="仿宋"/>
          <w:b/>
          <w:bCs/>
          <w:color w:val="auto"/>
          <w:sz w:val="21"/>
          <w:szCs w:val="21"/>
          <w:highlight w:val="none"/>
          <w:lang w:val="zh-CN"/>
        </w:rPr>
      </w:pPr>
    </w:p>
    <w:p w14:paraId="43BC5530">
      <w:pPr>
        <w:jc w:val="center"/>
        <w:outlineLvl w:val="0"/>
        <w:rPr>
          <w:rFonts w:hint="eastAsia" w:ascii="仿宋" w:hAnsi="仿宋" w:eastAsia="仿宋" w:cs="仿宋"/>
          <w:b/>
          <w:bCs/>
          <w:color w:val="auto"/>
          <w:sz w:val="32"/>
          <w:szCs w:val="32"/>
          <w:highlight w:val="none"/>
        </w:rPr>
      </w:pPr>
    </w:p>
    <w:p w14:paraId="7D114E3A">
      <w:pPr>
        <w:jc w:val="center"/>
        <w:outlineLvl w:val="0"/>
        <w:rPr>
          <w:rFonts w:hint="eastAsia" w:ascii="仿宋" w:hAnsi="仿宋" w:eastAsia="仿宋" w:cs="仿宋"/>
          <w:b/>
          <w:bCs/>
          <w:color w:val="auto"/>
          <w:sz w:val="32"/>
          <w:szCs w:val="32"/>
          <w:highlight w:val="none"/>
        </w:rPr>
      </w:pPr>
    </w:p>
    <w:p w14:paraId="0F0E6CF1">
      <w:pPr>
        <w:pStyle w:val="2"/>
        <w:rPr>
          <w:rFonts w:hint="eastAsia" w:ascii="仿宋" w:hAnsi="仿宋" w:eastAsia="仿宋" w:cs="仿宋"/>
          <w:b/>
          <w:bCs/>
          <w:color w:val="auto"/>
          <w:sz w:val="32"/>
          <w:szCs w:val="32"/>
          <w:highlight w:val="none"/>
        </w:rPr>
      </w:pPr>
    </w:p>
    <w:p w14:paraId="3B214825">
      <w:pPr>
        <w:rPr>
          <w:rFonts w:hint="eastAsia" w:ascii="仿宋" w:hAnsi="仿宋" w:eastAsia="仿宋" w:cs="仿宋"/>
          <w:b/>
          <w:bCs/>
          <w:color w:val="auto"/>
          <w:sz w:val="32"/>
          <w:szCs w:val="32"/>
          <w:highlight w:val="none"/>
        </w:rPr>
      </w:pPr>
    </w:p>
    <w:p w14:paraId="628FDE48">
      <w:pPr>
        <w:pStyle w:val="2"/>
        <w:rPr>
          <w:rFonts w:hint="eastAsia" w:ascii="仿宋" w:hAnsi="仿宋" w:eastAsia="仿宋" w:cs="仿宋"/>
          <w:b/>
          <w:bCs/>
          <w:color w:val="auto"/>
          <w:sz w:val="32"/>
          <w:szCs w:val="32"/>
          <w:highlight w:val="none"/>
        </w:rPr>
      </w:pPr>
    </w:p>
    <w:p w14:paraId="50FF5D4A">
      <w:pPr>
        <w:rPr>
          <w:rFonts w:hint="eastAsia" w:ascii="仿宋" w:hAnsi="仿宋" w:eastAsia="仿宋" w:cs="仿宋"/>
          <w:b/>
          <w:bCs/>
          <w:color w:val="auto"/>
          <w:sz w:val="32"/>
          <w:szCs w:val="32"/>
          <w:highlight w:val="none"/>
        </w:rPr>
      </w:pPr>
    </w:p>
    <w:p w14:paraId="52B632C5">
      <w:pPr>
        <w:pStyle w:val="2"/>
        <w:rPr>
          <w:rFonts w:hint="eastAsia" w:ascii="仿宋" w:hAnsi="仿宋" w:eastAsia="仿宋" w:cs="仿宋"/>
          <w:b/>
          <w:bCs/>
          <w:color w:val="auto"/>
          <w:sz w:val="32"/>
          <w:szCs w:val="32"/>
          <w:highlight w:val="none"/>
        </w:rPr>
      </w:pPr>
    </w:p>
    <w:p w14:paraId="2983161F">
      <w:pPr>
        <w:rPr>
          <w:rFonts w:hint="eastAsia" w:ascii="仿宋" w:hAnsi="仿宋" w:eastAsia="仿宋" w:cs="仿宋"/>
          <w:b/>
          <w:bCs/>
          <w:color w:val="auto"/>
          <w:sz w:val="32"/>
          <w:szCs w:val="32"/>
          <w:highlight w:val="none"/>
        </w:rPr>
      </w:pPr>
    </w:p>
    <w:p w14:paraId="03C4858D">
      <w:pPr>
        <w:pStyle w:val="43"/>
        <w:rPr>
          <w:rFonts w:hint="eastAsia" w:ascii="仿宋" w:hAnsi="仿宋" w:eastAsia="仿宋" w:cs="仿宋"/>
          <w:b/>
          <w:bCs/>
          <w:color w:val="auto"/>
          <w:sz w:val="32"/>
          <w:szCs w:val="32"/>
          <w:highlight w:val="none"/>
        </w:rPr>
      </w:pPr>
    </w:p>
    <w:p w14:paraId="6B42F60C">
      <w:pPr>
        <w:pStyle w:val="43"/>
        <w:rPr>
          <w:rFonts w:hint="eastAsia" w:ascii="仿宋" w:hAnsi="仿宋" w:eastAsia="仿宋" w:cs="仿宋"/>
          <w:b/>
          <w:bCs/>
          <w:color w:val="auto"/>
          <w:sz w:val="32"/>
          <w:szCs w:val="32"/>
          <w:highlight w:val="none"/>
        </w:rPr>
      </w:pPr>
    </w:p>
    <w:p w14:paraId="7032D867">
      <w:pPr>
        <w:rPr>
          <w:rFonts w:hint="eastAsia" w:ascii="仿宋" w:hAnsi="仿宋" w:eastAsia="仿宋" w:cs="仿宋"/>
          <w:color w:val="auto"/>
          <w:highlight w:val="none"/>
        </w:rPr>
      </w:pPr>
    </w:p>
    <w:p w14:paraId="3EE09CB5">
      <w:pPr>
        <w:jc w:val="center"/>
        <w:outlineLvl w:val="0"/>
        <w:rPr>
          <w:rFonts w:hint="eastAsia" w:ascii="仿宋" w:hAnsi="仿宋" w:eastAsia="仿宋" w:cs="仿宋"/>
          <w:b/>
          <w:bCs/>
          <w:color w:val="auto"/>
          <w:sz w:val="32"/>
          <w:szCs w:val="32"/>
          <w:highlight w:val="none"/>
        </w:rPr>
      </w:pPr>
      <w:bookmarkStart w:id="585" w:name="_Toc3310"/>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 xml:space="preserve">章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格式</w:t>
      </w:r>
      <w:bookmarkEnd w:id="585"/>
    </w:p>
    <w:p w14:paraId="2B08AD1D">
      <w:pPr>
        <w:spacing w:line="440" w:lineRule="exact"/>
        <w:rPr>
          <w:rFonts w:hint="eastAsia" w:ascii="仿宋" w:hAnsi="仿宋" w:eastAsia="仿宋" w:cs="仿宋"/>
          <w:color w:val="auto"/>
          <w:sz w:val="20"/>
          <w:szCs w:val="20"/>
          <w:highlight w:val="none"/>
        </w:rPr>
      </w:pPr>
    </w:p>
    <w:p w14:paraId="4C79E8C6">
      <w:pPr>
        <w:spacing w:line="440" w:lineRule="exact"/>
        <w:rPr>
          <w:rFonts w:hint="eastAsia" w:ascii="仿宋" w:hAnsi="仿宋" w:eastAsia="仿宋" w:cs="仿宋"/>
          <w:color w:val="auto"/>
          <w:sz w:val="20"/>
          <w:szCs w:val="20"/>
          <w:highlight w:val="none"/>
        </w:rPr>
      </w:pPr>
    </w:p>
    <w:p w14:paraId="171B4BE1">
      <w:pPr>
        <w:jc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1187DF5E">
      <w:pPr>
        <w:rPr>
          <w:rFonts w:hint="eastAsia" w:ascii="仿宋" w:hAnsi="仿宋" w:eastAsia="仿宋" w:cs="仿宋"/>
          <w:color w:val="auto"/>
          <w:sz w:val="20"/>
          <w:szCs w:val="20"/>
          <w:highlight w:val="none"/>
        </w:rPr>
      </w:pPr>
    </w:p>
    <w:p w14:paraId="5B5EB58E">
      <w:pPr>
        <w:rPr>
          <w:rFonts w:hint="eastAsia" w:ascii="仿宋" w:hAnsi="仿宋" w:eastAsia="仿宋" w:cs="仿宋"/>
          <w:color w:val="auto"/>
          <w:sz w:val="20"/>
          <w:szCs w:val="20"/>
          <w:highlight w:val="none"/>
        </w:rPr>
      </w:pPr>
    </w:p>
    <w:p w14:paraId="71310648">
      <w:pPr>
        <w:rPr>
          <w:rFonts w:hint="eastAsia" w:ascii="仿宋" w:hAnsi="仿宋" w:eastAsia="仿宋" w:cs="仿宋"/>
          <w:color w:val="auto"/>
          <w:sz w:val="20"/>
          <w:szCs w:val="20"/>
          <w:highlight w:val="none"/>
        </w:rPr>
      </w:pPr>
    </w:p>
    <w:p w14:paraId="5D4AD029">
      <w:pPr>
        <w:rPr>
          <w:rFonts w:hint="eastAsia" w:ascii="仿宋" w:hAnsi="仿宋" w:eastAsia="仿宋" w:cs="仿宋"/>
          <w:color w:val="auto"/>
          <w:sz w:val="20"/>
          <w:szCs w:val="20"/>
          <w:highlight w:val="none"/>
        </w:rPr>
      </w:pPr>
    </w:p>
    <w:p w14:paraId="63787515">
      <w:pPr>
        <w:rPr>
          <w:rFonts w:hint="eastAsia" w:ascii="仿宋" w:hAnsi="仿宋" w:eastAsia="仿宋" w:cs="仿宋"/>
          <w:color w:val="auto"/>
          <w:sz w:val="20"/>
          <w:szCs w:val="20"/>
          <w:highlight w:val="none"/>
        </w:rPr>
      </w:pPr>
    </w:p>
    <w:p w14:paraId="09028E07">
      <w:pPr>
        <w:rPr>
          <w:rFonts w:hint="eastAsia" w:ascii="仿宋" w:hAnsi="仿宋" w:eastAsia="仿宋" w:cs="仿宋"/>
          <w:color w:val="auto"/>
          <w:sz w:val="20"/>
          <w:szCs w:val="20"/>
          <w:highlight w:val="none"/>
        </w:rPr>
      </w:pPr>
    </w:p>
    <w:p w14:paraId="511F1DCE">
      <w:pPr>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lang w:val="en-US" w:eastAsia="zh-CN"/>
        </w:rPr>
        <w:t>响</w:t>
      </w:r>
      <w:r>
        <w:rPr>
          <w:rFonts w:hint="eastAsia" w:ascii="仿宋" w:hAnsi="仿宋" w:eastAsia="仿宋" w:cs="仿宋"/>
          <w:color w:val="auto"/>
          <w:sz w:val="72"/>
          <w:szCs w:val="72"/>
          <w:highlight w:val="none"/>
        </w:rPr>
        <w:t xml:space="preserve">  </w:t>
      </w:r>
      <w:r>
        <w:rPr>
          <w:rFonts w:hint="eastAsia" w:ascii="仿宋" w:hAnsi="仿宋" w:eastAsia="仿宋" w:cs="仿宋"/>
          <w:color w:val="auto"/>
          <w:sz w:val="72"/>
          <w:szCs w:val="72"/>
          <w:highlight w:val="none"/>
          <w:lang w:val="en-US" w:eastAsia="zh-CN"/>
        </w:rPr>
        <w:t>应</w:t>
      </w:r>
      <w:r>
        <w:rPr>
          <w:rFonts w:hint="eastAsia" w:ascii="仿宋" w:hAnsi="仿宋" w:eastAsia="仿宋" w:cs="仿宋"/>
          <w:color w:val="auto"/>
          <w:sz w:val="72"/>
          <w:szCs w:val="72"/>
          <w:highlight w:val="none"/>
        </w:rPr>
        <w:t xml:space="preserve">  文  件</w:t>
      </w:r>
    </w:p>
    <w:p w14:paraId="1B9D4D20">
      <w:pPr>
        <w:jc w:val="center"/>
        <w:rPr>
          <w:rFonts w:hint="eastAsia" w:ascii="仿宋" w:hAnsi="仿宋" w:eastAsia="仿宋" w:cs="仿宋"/>
          <w:color w:val="auto"/>
          <w:sz w:val="24"/>
          <w:highlight w:val="none"/>
        </w:rPr>
      </w:pPr>
    </w:p>
    <w:p w14:paraId="7B2D8623">
      <w:pPr>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p>
    <w:p w14:paraId="0511AA04">
      <w:pPr>
        <w:rPr>
          <w:rFonts w:hint="eastAsia" w:ascii="仿宋" w:hAnsi="仿宋" w:eastAsia="仿宋" w:cs="仿宋"/>
          <w:color w:val="auto"/>
          <w:sz w:val="28"/>
          <w:szCs w:val="28"/>
          <w:highlight w:val="none"/>
        </w:rPr>
      </w:pPr>
    </w:p>
    <w:p w14:paraId="4AA969E0">
      <w:pPr>
        <w:rPr>
          <w:rFonts w:hint="eastAsia" w:ascii="仿宋" w:hAnsi="仿宋" w:eastAsia="仿宋" w:cs="仿宋"/>
          <w:color w:val="auto"/>
          <w:sz w:val="28"/>
          <w:szCs w:val="28"/>
          <w:highlight w:val="none"/>
        </w:rPr>
      </w:pPr>
    </w:p>
    <w:p w14:paraId="0F655142">
      <w:pPr>
        <w:pStyle w:val="45"/>
        <w:rPr>
          <w:rFonts w:hint="eastAsia" w:ascii="仿宋" w:hAnsi="仿宋" w:eastAsia="仿宋" w:cs="仿宋"/>
          <w:color w:val="auto"/>
          <w:sz w:val="28"/>
          <w:szCs w:val="28"/>
          <w:highlight w:val="none"/>
        </w:rPr>
      </w:pPr>
    </w:p>
    <w:p w14:paraId="610EBD8D">
      <w:pPr>
        <w:rPr>
          <w:rFonts w:hint="eastAsia" w:ascii="仿宋" w:hAnsi="仿宋" w:eastAsia="仿宋" w:cs="仿宋"/>
          <w:color w:val="auto"/>
          <w:highlight w:val="none"/>
        </w:rPr>
      </w:pPr>
    </w:p>
    <w:p w14:paraId="40AC5F6F">
      <w:pPr>
        <w:pStyle w:val="45"/>
        <w:rPr>
          <w:rFonts w:hint="eastAsia" w:ascii="仿宋" w:hAnsi="仿宋" w:eastAsia="仿宋" w:cs="仿宋"/>
          <w:color w:val="auto"/>
          <w:sz w:val="28"/>
          <w:szCs w:val="28"/>
          <w:highlight w:val="none"/>
          <w:lang w:eastAsia="zh-CN"/>
        </w:rPr>
      </w:pPr>
    </w:p>
    <w:p w14:paraId="2836E854">
      <w:pPr>
        <w:rPr>
          <w:rFonts w:hint="eastAsia" w:ascii="仿宋" w:hAnsi="仿宋" w:eastAsia="仿宋" w:cs="仿宋"/>
          <w:color w:val="auto"/>
          <w:sz w:val="28"/>
          <w:szCs w:val="28"/>
          <w:highlight w:val="none"/>
          <w:lang w:eastAsia="zh-CN"/>
        </w:rPr>
      </w:pPr>
    </w:p>
    <w:p w14:paraId="13701F35">
      <w:pPr>
        <w:rPr>
          <w:rFonts w:hint="eastAsia" w:ascii="仿宋" w:hAnsi="仿宋" w:eastAsia="仿宋" w:cs="仿宋"/>
          <w:color w:val="auto"/>
          <w:highlight w:val="none"/>
          <w:lang w:eastAsia="zh-CN"/>
        </w:rPr>
      </w:pPr>
    </w:p>
    <w:p w14:paraId="629AF6E3">
      <w:pPr>
        <w:rPr>
          <w:rFonts w:hint="eastAsia" w:ascii="仿宋" w:hAnsi="仿宋" w:eastAsia="仿宋" w:cs="仿宋"/>
          <w:color w:val="auto"/>
          <w:sz w:val="28"/>
          <w:szCs w:val="28"/>
          <w:highlight w:val="none"/>
        </w:rPr>
      </w:pPr>
    </w:p>
    <w:p w14:paraId="0CE2CF02">
      <w:pPr>
        <w:pStyle w:val="45"/>
        <w:rPr>
          <w:rFonts w:hint="eastAsia" w:ascii="仿宋" w:hAnsi="仿宋" w:eastAsia="仿宋" w:cs="仿宋"/>
          <w:color w:val="auto"/>
          <w:highlight w:val="none"/>
        </w:rPr>
      </w:pPr>
    </w:p>
    <w:p w14:paraId="73FCDB71">
      <w:pPr>
        <w:spacing w:line="36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（电子签章）</w:t>
      </w:r>
    </w:p>
    <w:p w14:paraId="0B81461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（电子签章</w:t>
      </w:r>
      <w:r>
        <w:rPr>
          <w:rFonts w:hint="eastAsia" w:ascii="仿宋" w:hAnsi="仿宋" w:eastAsia="仿宋" w:cs="仿宋"/>
          <w:color w:val="auto"/>
          <w:sz w:val="28"/>
          <w:szCs w:val="28"/>
          <w:highlight w:val="none"/>
          <w:lang w:val="en-US" w:eastAsia="zh-CN"/>
        </w:rPr>
        <w:t>或签字</w:t>
      </w:r>
      <w:r>
        <w:rPr>
          <w:rFonts w:hint="eastAsia" w:ascii="仿宋" w:hAnsi="仿宋" w:eastAsia="仿宋" w:cs="仿宋"/>
          <w:color w:val="auto"/>
          <w:sz w:val="28"/>
          <w:szCs w:val="28"/>
          <w:highlight w:val="none"/>
        </w:rPr>
        <w:t>）</w:t>
      </w:r>
    </w:p>
    <w:p w14:paraId="547FBED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C74DA47">
      <w:pPr>
        <w:spacing w:line="360" w:lineRule="auto"/>
        <w:jc w:val="center"/>
        <w:rPr>
          <w:rFonts w:hint="eastAsia" w:ascii="仿宋" w:hAnsi="仿宋" w:eastAsia="仿宋" w:cs="仿宋"/>
          <w:color w:val="auto"/>
          <w:sz w:val="32"/>
          <w:szCs w:val="32"/>
          <w:highlight w:val="none"/>
        </w:rPr>
      </w:pPr>
      <w:bookmarkStart w:id="586" w:name="_Toc144974856"/>
      <w:bookmarkStart w:id="587" w:name="_Toc479014396"/>
      <w:bookmarkStart w:id="588" w:name="_Toc152045787"/>
      <w:bookmarkStart w:id="589" w:name="_Toc5036"/>
      <w:bookmarkStart w:id="590" w:name="_Toc152042576"/>
      <w:bookmarkStart w:id="591" w:name="_Toc344483714"/>
    </w:p>
    <w:p w14:paraId="5E492DCF">
      <w:pPr>
        <w:spacing w:line="360" w:lineRule="auto"/>
        <w:jc w:val="center"/>
        <w:rPr>
          <w:rFonts w:hint="eastAsia" w:ascii="仿宋" w:hAnsi="仿宋" w:eastAsia="仿宋" w:cs="仿宋"/>
          <w:color w:val="auto"/>
          <w:sz w:val="32"/>
          <w:szCs w:val="32"/>
          <w:highlight w:val="none"/>
        </w:rPr>
      </w:pPr>
    </w:p>
    <w:p w14:paraId="647D0F5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AE661C6">
      <w:pPr>
        <w:spacing w:line="480" w:lineRule="auto"/>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rPr>
        <w:t>目    录</w:t>
      </w:r>
      <w:bookmarkEnd w:id="586"/>
      <w:bookmarkEnd w:id="587"/>
      <w:bookmarkEnd w:id="588"/>
      <w:bookmarkEnd w:id="589"/>
      <w:bookmarkEnd w:id="590"/>
      <w:bookmarkEnd w:id="591"/>
    </w:p>
    <w:p w14:paraId="44295D7B">
      <w:pPr>
        <w:spacing w:line="480" w:lineRule="auto"/>
        <w:ind w:firstLine="972" w:firstLineChars="405"/>
        <w:rPr>
          <w:rFonts w:hint="eastAsia" w:ascii="仿宋" w:hAnsi="仿宋" w:eastAsia="仿宋" w:cs="仿宋"/>
          <w:color w:val="auto"/>
          <w:sz w:val="24"/>
          <w:szCs w:val="24"/>
          <w:highlight w:val="none"/>
        </w:rPr>
      </w:pPr>
      <w:bookmarkStart w:id="592" w:name="_Toc152042577"/>
      <w:bookmarkStart w:id="593" w:name="_Toc344483715"/>
      <w:bookmarkStart w:id="594" w:name="_Toc144974857"/>
      <w:bookmarkStart w:id="595" w:name="_Toc152045788"/>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17DC744F">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2213C401">
      <w:pPr>
        <w:spacing w:line="480" w:lineRule="auto"/>
        <w:ind w:firstLine="972" w:firstLineChars="4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响应承诺函</w:t>
      </w:r>
    </w:p>
    <w:p w14:paraId="0A365C45">
      <w:pPr>
        <w:spacing w:line="480" w:lineRule="auto"/>
        <w:ind w:firstLine="972" w:firstLineChars="4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已标价工程量清单</w:t>
      </w:r>
    </w:p>
    <w:p w14:paraId="012B4ABD">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215C1899">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、技术文件</w:t>
      </w:r>
    </w:p>
    <w:p w14:paraId="146CA2FD">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、项目管理机构</w:t>
      </w:r>
    </w:p>
    <w:p w14:paraId="42533A5F">
      <w:pPr>
        <w:spacing w:line="480" w:lineRule="auto"/>
        <w:ind w:firstLine="972" w:firstLineChars="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2F60AFB0">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bookmarkEnd w:id="592"/>
      <w:bookmarkEnd w:id="593"/>
      <w:bookmarkEnd w:id="594"/>
      <w:bookmarkEnd w:id="595"/>
      <w:r>
        <w:rPr>
          <w:rFonts w:hint="eastAsia" w:ascii="仿宋" w:hAnsi="仿宋" w:eastAsia="仿宋" w:cs="仿宋"/>
          <w:color w:val="auto"/>
          <w:highlight w:val="none"/>
        </w:rPr>
        <w:t>一、</w:t>
      </w:r>
      <w:r>
        <w:rPr>
          <w:rFonts w:hint="eastAsia" w:ascii="仿宋" w:hAnsi="仿宋" w:eastAsia="仿宋" w:cs="仿宋"/>
          <w:b/>
          <w:color w:val="auto"/>
          <w:sz w:val="30"/>
          <w:szCs w:val="30"/>
          <w:highlight w:val="none"/>
        </w:rPr>
        <w:t>磋商响应函及磋商</w:t>
      </w:r>
      <w:r>
        <w:rPr>
          <w:rFonts w:hint="eastAsia" w:ascii="仿宋" w:hAnsi="仿宋" w:eastAsia="仿宋" w:cs="仿宋"/>
          <w:b/>
          <w:color w:val="auto"/>
          <w:sz w:val="30"/>
          <w:szCs w:val="30"/>
          <w:highlight w:val="none"/>
          <w:lang w:eastAsia="zh-CN"/>
        </w:rPr>
        <w:t>响应</w:t>
      </w:r>
      <w:r>
        <w:rPr>
          <w:rFonts w:hint="eastAsia" w:ascii="仿宋" w:hAnsi="仿宋" w:eastAsia="仿宋" w:cs="仿宋"/>
          <w:b/>
          <w:color w:val="auto"/>
          <w:sz w:val="30"/>
          <w:szCs w:val="30"/>
          <w:highlight w:val="none"/>
        </w:rPr>
        <w:t>一览表</w:t>
      </w:r>
    </w:p>
    <w:p w14:paraId="4930A3F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（一）磋商响应函</w:t>
      </w:r>
    </w:p>
    <w:p w14:paraId="09E9AD0C">
      <w:pPr>
        <w:spacing w:line="48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或</w:t>
      </w:r>
      <w:r>
        <w:rPr>
          <w:rFonts w:hint="eastAsia" w:ascii="仿宋" w:hAnsi="仿宋" w:eastAsia="仿宋" w:cs="仿宋"/>
          <w:color w:val="auto"/>
          <w:sz w:val="24"/>
          <w:szCs w:val="24"/>
          <w:highlight w:val="none"/>
          <w:u w:val="single"/>
        </w:rPr>
        <w:t xml:space="preserve">采购代理机构名称）   </w:t>
      </w:r>
    </w:p>
    <w:p w14:paraId="5634DBD4">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，经详细研究，我们决定参加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，我们郑重声明以下诸点并负法律责任。</w:t>
      </w:r>
    </w:p>
    <w:p w14:paraId="3EF73E08">
      <w:pPr>
        <w:numPr>
          <w:ilvl w:val="0"/>
          <w:numId w:val="4"/>
        </w:num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中的条款和要求，以</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规定），质量</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05D9990">
      <w:pPr>
        <w:numPr>
          <w:ilvl w:val="0"/>
          <w:numId w:val="0"/>
        </w:num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2、如果我们的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被接受，我们将履行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中规定的各项要求。</w:t>
      </w:r>
    </w:p>
    <w:p w14:paraId="262EA1A8">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3、我们同意按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中的规定，本</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的有效期为自投标截止之日起</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日历天。如果中标，有效期延长至合同终止日止。</w:t>
      </w:r>
    </w:p>
    <w:p w14:paraId="33842EC1">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4、我们愿提供</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中要求的所有文件资料。</w:t>
      </w:r>
    </w:p>
    <w:p w14:paraId="69B56A4F">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5、我们承认最低报价是中标的重要选择，但不是唯一标准。</w:t>
      </w:r>
    </w:p>
    <w:p w14:paraId="1069EB0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6、我们已经详细审核了全部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，包括修改、补充的文件（如果有）及有关附件，我们完全理解并同意放弃对这方面有不明及误解的权利。</w:t>
      </w:r>
    </w:p>
    <w:p w14:paraId="3DA555E8">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7、如我方中标，我方愿意按</w:t>
      </w:r>
      <w:r>
        <w:rPr>
          <w:rFonts w:hint="eastAsia" w:ascii="仿宋" w:hAnsi="仿宋" w:eastAsia="仿宋" w:cs="仿宋"/>
          <w:color w:val="auto"/>
          <w:sz w:val="24"/>
          <w:szCs w:val="24"/>
          <w:highlight w:val="none"/>
          <w:lang w:val="en-US" w:eastAsia="zh-CN"/>
        </w:rPr>
        <w:t>采购文件规定的</w:t>
      </w:r>
      <w:r>
        <w:rPr>
          <w:rFonts w:hint="eastAsia" w:ascii="仿宋" w:hAnsi="仿宋" w:eastAsia="仿宋" w:cs="仿宋"/>
          <w:bCs/>
          <w:color w:val="auto"/>
          <w:kern w:val="1"/>
          <w:sz w:val="24"/>
          <w:szCs w:val="24"/>
          <w:highlight w:val="none"/>
        </w:rPr>
        <w:t>采购代理服务费</w:t>
      </w:r>
      <w:r>
        <w:rPr>
          <w:rFonts w:hint="eastAsia" w:ascii="仿宋" w:hAnsi="仿宋" w:eastAsia="仿宋" w:cs="仿宋"/>
          <w:bCs/>
          <w:color w:val="auto"/>
          <w:kern w:val="1"/>
          <w:sz w:val="24"/>
          <w:szCs w:val="24"/>
          <w:highlight w:val="none"/>
          <w:lang w:val="en-US" w:eastAsia="zh-CN"/>
        </w:rPr>
        <w:t>收费标准</w:t>
      </w:r>
      <w:r>
        <w:rPr>
          <w:rFonts w:hint="eastAsia" w:ascii="仿宋" w:hAnsi="仿宋" w:eastAsia="仿宋" w:cs="仿宋"/>
          <w:color w:val="auto"/>
          <w:sz w:val="24"/>
          <w:szCs w:val="24"/>
          <w:highlight w:val="none"/>
        </w:rPr>
        <w:t>向采购代理机构支付本次招标代理服务费。</w:t>
      </w:r>
    </w:p>
    <w:p w14:paraId="605ECB31">
      <w:pPr>
        <w:wordWrap w:val="0"/>
        <w:spacing w:line="450" w:lineRule="atLeast"/>
        <w:jc w:val="both"/>
        <w:rPr>
          <w:rFonts w:hint="eastAsia" w:ascii="仿宋" w:hAnsi="仿宋" w:eastAsia="仿宋" w:cs="仿宋"/>
          <w:color w:val="auto"/>
          <w:sz w:val="24"/>
          <w:szCs w:val="24"/>
          <w:highlight w:val="none"/>
        </w:rPr>
      </w:pPr>
    </w:p>
    <w:p w14:paraId="30EB619E">
      <w:pPr>
        <w:wordWrap w:val="0"/>
        <w:spacing w:line="480" w:lineRule="auto"/>
        <w:ind w:firstLine="2640" w:firstLineChars="1100"/>
        <w:jc w:val="both"/>
        <w:rPr>
          <w:rFonts w:hint="eastAsia" w:ascii="仿宋" w:hAnsi="仿宋" w:eastAsia="仿宋" w:cs="仿宋"/>
          <w:color w:val="auto"/>
          <w:sz w:val="24"/>
          <w:szCs w:val="24"/>
          <w:highlight w:val="none"/>
        </w:rPr>
      </w:pPr>
    </w:p>
    <w:p w14:paraId="00BB6C6A">
      <w:pPr>
        <w:wordWrap w:val="0"/>
        <w:spacing w:line="480" w:lineRule="auto"/>
        <w:ind w:firstLine="2640" w:firstLineChars="1100"/>
        <w:jc w:val="both"/>
        <w:rPr>
          <w:rFonts w:hint="eastAsia" w:ascii="仿宋" w:hAnsi="仿宋" w:eastAsia="仿宋" w:cs="仿宋"/>
          <w:color w:val="auto"/>
          <w:sz w:val="24"/>
          <w:szCs w:val="24"/>
          <w:highlight w:val="none"/>
        </w:rPr>
      </w:pPr>
    </w:p>
    <w:p w14:paraId="10496B2F">
      <w:pPr>
        <w:wordWrap w:val="0"/>
        <w:spacing w:line="480" w:lineRule="auto"/>
        <w:ind w:firstLine="264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2D897BE9">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063126EC">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D149F8D">
      <w:pPr>
        <w:spacing w:line="440" w:lineRule="exact"/>
        <w:jc w:val="center"/>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br w:type="page"/>
      </w:r>
      <w:bookmarkStart w:id="596" w:name="_Toc3090"/>
      <w:r>
        <w:rPr>
          <w:rFonts w:hint="eastAsia" w:ascii="仿宋" w:hAnsi="仿宋" w:eastAsia="仿宋" w:cs="仿宋"/>
          <w:b/>
          <w:bCs/>
          <w:color w:val="auto"/>
          <w:sz w:val="24"/>
          <w:szCs w:val="24"/>
          <w:highlight w:val="none"/>
        </w:rPr>
        <w:t xml:space="preserve">（二） </w:t>
      </w:r>
      <w:bookmarkEnd w:id="596"/>
      <w:r>
        <w:rPr>
          <w:rFonts w:hint="eastAsia" w:ascii="仿宋" w:hAnsi="仿宋" w:eastAsia="仿宋" w:cs="仿宋"/>
          <w:b/>
          <w:bCs/>
          <w:color w:val="auto"/>
          <w:sz w:val="24"/>
          <w:szCs w:val="24"/>
          <w:highlight w:val="none"/>
          <w:lang w:eastAsia="zh-CN"/>
        </w:rPr>
        <w:t>磋商响应</w:t>
      </w:r>
      <w:r>
        <w:rPr>
          <w:rFonts w:hint="eastAsia" w:ascii="仿宋" w:hAnsi="仿宋" w:eastAsia="仿宋" w:cs="仿宋"/>
          <w:b/>
          <w:bCs/>
          <w:color w:val="auto"/>
          <w:sz w:val="24"/>
          <w:szCs w:val="24"/>
          <w:highlight w:val="none"/>
        </w:rPr>
        <w:t>一览表</w:t>
      </w:r>
    </w:p>
    <w:p w14:paraId="35956A43">
      <w:pPr>
        <w:spacing w:line="440" w:lineRule="exact"/>
        <w:jc w:val="center"/>
        <w:rPr>
          <w:rFonts w:hint="eastAsia" w:ascii="仿宋" w:hAnsi="仿宋" w:eastAsia="仿宋" w:cs="仿宋"/>
          <w:b/>
          <w:bCs/>
          <w:color w:val="auto"/>
          <w:sz w:val="24"/>
          <w:highlight w:val="none"/>
        </w:rPr>
      </w:pPr>
    </w:p>
    <w:tbl>
      <w:tblPr>
        <w:tblStyle w:val="27"/>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1184"/>
        <w:gridCol w:w="1001"/>
        <w:gridCol w:w="1174"/>
        <w:gridCol w:w="1207"/>
        <w:gridCol w:w="1565"/>
      </w:tblGrid>
      <w:tr w14:paraId="6FD8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148" w:type="dxa"/>
            <w:noWrap w:val="0"/>
            <w:vAlign w:val="center"/>
          </w:tcPr>
          <w:p w14:paraId="0166B5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供应商名称</w:t>
            </w:r>
          </w:p>
        </w:tc>
        <w:tc>
          <w:tcPr>
            <w:tcW w:w="6131" w:type="dxa"/>
            <w:gridSpan w:val="5"/>
            <w:noWrap w:val="0"/>
            <w:vAlign w:val="center"/>
          </w:tcPr>
          <w:p w14:paraId="6DAAA28A">
            <w:pPr>
              <w:spacing w:line="440" w:lineRule="exact"/>
              <w:rPr>
                <w:rFonts w:hint="eastAsia" w:ascii="仿宋" w:hAnsi="仿宋" w:eastAsia="仿宋" w:cs="仿宋"/>
                <w:color w:val="auto"/>
                <w:sz w:val="24"/>
                <w:szCs w:val="24"/>
                <w:highlight w:val="none"/>
              </w:rPr>
            </w:pPr>
          </w:p>
        </w:tc>
      </w:tr>
      <w:tr w14:paraId="1213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6214EFCD">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响应内容</w:t>
            </w:r>
          </w:p>
        </w:tc>
        <w:tc>
          <w:tcPr>
            <w:tcW w:w="6131" w:type="dxa"/>
            <w:gridSpan w:val="5"/>
            <w:noWrap w:val="0"/>
            <w:vAlign w:val="center"/>
          </w:tcPr>
          <w:p w14:paraId="71F85E07">
            <w:pPr>
              <w:spacing w:line="440" w:lineRule="exact"/>
              <w:rPr>
                <w:rFonts w:hint="eastAsia" w:ascii="仿宋" w:hAnsi="仿宋" w:eastAsia="仿宋" w:cs="仿宋"/>
                <w:color w:val="auto"/>
                <w:sz w:val="24"/>
                <w:szCs w:val="24"/>
                <w:highlight w:val="none"/>
              </w:rPr>
            </w:pPr>
          </w:p>
        </w:tc>
      </w:tr>
      <w:tr w14:paraId="218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48" w:type="dxa"/>
            <w:noWrap w:val="0"/>
            <w:vAlign w:val="center"/>
          </w:tcPr>
          <w:p w14:paraId="7225B53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报价（元）</w:t>
            </w:r>
          </w:p>
        </w:tc>
        <w:tc>
          <w:tcPr>
            <w:tcW w:w="6131" w:type="dxa"/>
            <w:gridSpan w:val="5"/>
            <w:noWrap w:val="0"/>
            <w:vAlign w:val="center"/>
          </w:tcPr>
          <w:p w14:paraId="5859A68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5E248A2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5F68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148" w:type="dxa"/>
            <w:noWrap w:val="0"/>
            <w:vAlign w:val="center"/>
          </w:tcPr>
          <w:p w14:paraId="5B690B79">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工   期</w:t>
            </w:r>
          </w:p>
        </w:tc>
        <w:tc>
          <w:tcPr>
            <w:tcW w:w="6131" w:type="dxa"/>
            <w:gridSpan w:val="5"/>
            <w:noWrap w:val="0"/>
            <w:vAlign w:val="center"/>
          </w:tcPr>
          <w:p w14:paraId="00910DA4">
            <w:pPr>
              <w:spacing w:line="440" w:lineRule="exact"/>
              <w:jc w:val="center"/>
              <w:rPr>
                <w:rFonts w:hint="eastAsia" w:ascii="仿宋" w:hAnsi="仿宋" w:eastAsia="仿宋" w:cs="仿宋"/>
                <w:color w:val="auto"/>
                <w:sz w:val="24"/>
                <w:szCs w:val="24"/>
                <w:highlight w:val="none"/>
              </w:rPr>
            </w:pPr>
          </w:p>
        </w:tc>
      </w:tr>
      <w:tr w14:paraId="641B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6AE2D3AA">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标准</w:t>
            </w:r>
          </w:p>
        </w:tc>
        <w:tc>
          <w:tcPr>
            <w:tcW w:w="6131" w:type="dxa"/>
            <w:gridSpan w:val="5"/>
            <w:noWrap w:val="0"/>
            <w:vAlign w:val="center"/>
          </w:tcPr>
          <w:p w14:paraId="73DCFB78">
            <w:pPr>
              <w:spacing w:line="440" w:lineRule="exact"/>
              <w:jc w:val="center"/>
              <w:rPr>
                <w:rFonts w:hint="eastAsia" w:ascii="仿宋" w:hAnsi="仿宋" w:eastAsia="仿宋" w:cs="仿宋"/>
                <w:color w:val="auto"/>
                <w:sz w:val="24"/>
                <w:szCs w:val="24"/>
                <w:highlight w:val="none"/>
              </w:rPr>
            </w:pPr>
          </w:p>
        </w:tc>
      </w:tr>
      <w:tr w14:paraId="4B5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8" w:type="dxa"/>
            <w:noWrap w:val="0"/>
            <w:vAlign w:val="center"/>
          </w:tcPr>
          <w:p w14:paraId="4F8EF515">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131" w:type="dxa"/>
            <w:gridSpan w:val="5"/>
            <w:noWrap w:val="0"/>
            <w:vAlign w:val="center"/>
          </w:tcPr>
          <w:p w14:paraId="08F36B5B">
            <w:pPr>
              <w:spacing w:line="440" w:lineRule="exact"/>
              <w:jc w:val="center"/>
              <w:rPr>
                <w:rFonts w:hint="eastAsia" w:ascii="仿宋" w:hAnsi="仿宋" w:eastAsia="仿宋" w:cs="仿宋"/>
                <w:color w:val="auto"/>
                <w:sz w:val="24"/>
                <w:szCs w:val="24"/>
                <w:highlight w:val="none"/>
              </w:rPr>
            </w:pPr>
          </w:p>
        </w:tc>
      </w:tr>
      <w:tr w14:paraId="4426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7B98ED4C">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w:t>
            </w:r>
          </w:p>
        </w:tc>
        <w:tc>
          <w:tcPr>
            <w:tcW w:w="6131" w:type="dxa"/>
            <w:gridSpan w:val="5"/>
            <w:noWrap w:val="0"/>
            <w:vAlign w:val="center"/>
          </w:tcPr>
          <w:p w14:paraId="7316811D">
            <w:pPr>
              <w:spacing w:line="440" w:lineRule="exact"/>
              <w:rPr>
                <w:rFonts w:hint="eastAsia" w:ascii="仿宋" w:hAnsi="仿宋" w:eastAsia="仿宋" w:cs="仿宋"/>
                <w:color w:val="auto"/>
                <w:sz w:val="24"/>
                <w:szCs w:val="24"/>
                <w:highlight w:val="none"/>
              </w:rPr>
            </w:pPr>
          </w:p>
        </w:tc>
      </w:tr>
      <w:tr w14:paraId="6FA7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48" w:type="dxa"/>
            <w:noWrap w:val="0"/>
            <w:vAlign w:val="center"/>
          </w:tcPr>
          <w:p w14:paraId="1437C1EB">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w:t>
            </w:r>
          </w:p>
        </w:tc>
        <w:tc>
          <w:tcPr>
            <w:tcW w:w="1184" w:type="dxa"/>
            <w:noWrap w:val="0"/>
            <w:vAlign w:val="center"/>
          </w:tcPr>
          <w:p w14:paraId="626BD20E">
            <w:pPr>
              <w:spacing w:line="440" w:lineRule="exact"/>
              <w:jc w:val="center"/>
              <w:rPr>
                <w:rFonts w:hint="eastAsia" w:ascii="仿宋" w:hAnsi="仿宋" w:eastAsia="仿宋" w:cs="仿宋"/>
                <w:color w:val="auto"/>
                <w:sz w:val="24"/>
                <w:szCs w:val="24"/>
                <w:highlight w:val="none"/>
              </w:rPr>
            </w:pPr>
          </w:p>
        </w:tc>
        <w:tc>
          <w:tcPr>
            <w:tcW w:w="1001" w:type="dxa"/>
            <w:noWrap w:val="0"/>
            <w:vAlign w:val="center"/>
          </w:tcPr>
          <w:p w14:paraId="154A5490">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级  别</w:t>
            </w:r>
          </w:p>
        </w:tc>
        <w:tc>
          <w:tcPr>
            <w:tcW w:w="1174" w:type="dxa"/>
            <w:noWrap w:val="0"/>
            <w:vAlign w:val="center"/>
          </w:tcPr>
          <w:p w14:paraId="3B8095CF">
            <w:pPr>
              <w:spacing w:line="440" w:lineRule="exact"/>
              <w:jc w:val="center"/>
              <w:rPr>
                <w:rFonts w:hint="eastAsia" w:ascii="仿宋" w:hAnsi="仿宋" w:eastAsia="仿宋" w:cs="仿宋"/>
                <w:color w:val="auto"/>
                <w:sz w:val="24"/>
                <w:szCs w:val="24"/>
                <w:highlight w:val="none"/>
              </w:rPr>
            </w:pPr>
          </w:p>
        </w:tc>
        <w:tc>
          <w:tcPr>
            <w:tcW w:w="1207" w:type="dxa"/>
            <w:noWrap w:val="0"/>
            <w:vAlign w:val="center"/>
          </w:tcPr>
          <w:p w14:paraId="5338017F">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注册证号</w:t>
            </w:r>
          </w:p>
        </w:tc>
        <w:tc>
          <w:tcPr>
            <w:tcW w:w="1565" w:type="dxa"/>
            <w:noWrap w:val="0"/>
            <w:vAlign w:val="center"/>
          </w:tcPr>
          <w:p w14:paraId="205DFAB5">
            <w:pPr>
              <w:spacing w:line="440" w:lineRule="exact"/>
              <w:jc w:val="center"/>
              <w:rPr>
                <w:rFonts w:hint="eastAsia" w:ascii="仿宋" w:hAnsi="仿宋" w:eastAsia="仿宋" w:cs="仿宋"/>
                <w:color w:val="auto"/>
                <w:sz w:val="24"/>
                <w:szCs w:val="24"/>
                <w:highlight w:val="none"/>
              </w:rPr>
            </w:pPr>
          </w:p>
        </w:tc>
      </w:tr>
      <w:tr w14:paraId="533B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8279" w:type="dxa"/>
            <w:gridSpan w:val="6"/>
            <w:noWrap w:val="0"/>
            <w:vAlign w:val="center"/>
          </w:tcPr>
          <w:p w14:paraId="044A6BB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其他声明：</w:t>
            </w:r>
          </w:p>
        </w:tc>
      </w:tr>
    </w:tbl>
    <w:p w14:paraId="114C14F9">
      <w:pPr>
        <w:spacing w:line="440" w:lineRule="exact"/>
        <w:ind w:left="5145" w:leftChars="2450"/>
        <w:rPr>
          <w:rFonts w:hint="eastAsia" w:ascii="仿宋" w:hAnsi="仿宋" w:eastAsia="仿宋" w:cs="仿宋"/>
          <w:color w:val="auto"/>
          <w:sz w:val="24"/>
          <w:highlight w:val="none"/>
        </w:rPr>
      </w:pPr>
    </w:p>
    <w:p w14:paraId="3E68247D">
      <w:pPr>
        <w:spacing w:line="440" w:lineRule="exact"/>
        <w:ind w:left="5145" w:leftChars="2450"/>
        <w:rPr>
          <w:rFonts w:hint="eastAsia" w:ascii="仿宋" w:hAnsi="仿宋" w:eastAsia="仿宋" w:cs="仿宋"/>
          <w:color w:val="auto"/>
          <w:sz w:val="24"/>
          <w:highlight w:val="none"/>
        </w:rPr>
      </w:pPr>
    </w:p>
    <w:p w14:paraId="3F5907FC">
      <w:pPr>
        <w:wordWrap w:val="0"/>
        <w:spacing w:line="480" w:lineRule="auto"/>
        <w:ind w:firstLine="231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（电子签章）</w:t>
      </w:r>
    </w:p>
    <w:p w14:paraId="23EFFFC3">
      <w:pPr>
        <w:wordWrap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09A959D3">
      <w:pPr>
        <w:wordWrap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62577B5">
      <w:pPr>
        <w:wordWrap w:val="0"/>
        <w:spacing w:line="450" w:lineRule="atLeast"/>
        <w:jc w:val="center"/>
        <w:rPr>
          <w:rFonts w:hint="eastAsia" w:ascii="仿宋" w:hAnsi="仿宋" w:eastAsia="仿宋" w:cs="仿宋"/>
          <w:color w:val="auto"/>
          <w:szCs w:val="21"/>
          <w:highlight w:val="none"/>
        </w:rPr>
      </w:pPr>
    </w:p>
    <w:p w14:paraId="6A6901F2">
      <w:pPr>
        <w:spacing w:line="360" w:lineRule="auto"/>
        <w:ind w:firstLine="972" w:firstLineChars="405"/>
        <w:jc w:val="center"/>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0"/>
          <w:szCs w:val="30"/>
          <w:highlight w:val="none"/>
        </w:rPr>
        <w:t>二、法定代表人身份证明及授权委托书</w:t>
      </w:r>
    </w:p>
    <w:p w14:paraId="45AE8A43">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(一)法定代表人身份证明</w:t>
      </w:r>
    </w:p>
    <w:p w14:paraId="0C1784AE">
      <w:pPr>
        <w:spacing w:line="440" w:lineRule="exact"/>
        <w:jc w:val="center"/>
        <w:rPr>
          <w:rFonts w:hint="eastAsia" w:ascii="仿宋" w:hAnsi="仿宋" w:eastAsia="仿宋" w:cs="仿宋"/>
          <w:color w:val="auto"/>
          <w:sz w:val="24"/>
          <w:szCs w:val="24"/>
          <w:highlight w:val="none"/>
        </w:rPr>
      </w:pPr>
    </w:p>
    <w:p w14:paraId="02DE8537">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14:paraId="27036E0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6BF8FE6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3396723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FBE9B8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51EF4FD6">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48B405FD">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（供应商单位名称）的法定代表人。</w:t>
      </w:r>
    </w:p>
    <w:p w14:paraId="672E816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B09D99B">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p w14:paraId="774DBC7E">
      <w:pPr>
        <w:spacing w:line="440" w:lineRule="exact"/>
        <w:rPr>
          <w:rFonts w:hint="eastAsia" w:ascii="仿宋" w:hAnsi="仿宋" w:eastAsia="仿宋" w:cs="仿宋"/>
          <w:color w:val="auto"/>
          <w:sz w:val="24"/>
          <w:szCs w:val="24"/>
          <w:highlight w:val="none"/>
        </w:rPr>
      </w:pPr>
    </w:p>
    <w:p w14:paraId="3F20996F">
      <w:pPr>
        <w:spacing w:line="440" w:lineRule="exact"/>
        <w:rPr>
          <w:rFonts w:hint="eastAsia" w:ascii="仿宋" w:hAnsi="仿宋" w:eastAsia="仿宋" w:cs="仿宋"/>
          <w:color w:val="auto"/>
          <w:sz w:val="24"/>
          <w:szCs w:val="24"/>
          <w:highlight w:val="none"/>
        </w:rPr>
      </w:pPr>
    </w:p>
    <w:p w14:paraId="36E42948">
      <w:pPr>
        <w:spacing w:line="440" w:lineRule="exact"/>
        <w:rPr>
          <w:rFonts w:hint="eastAsia" w:ascii="仿宋" w:hAnsi="仿宋" w:eastAsia="仿宋" w:cs="仿宋"/>
          <w:color w:val="auto"/>
          <w:sz w:val="24"/>
          <w:szCs w:val="24"/>
          <w:highlight w:val="none"/>
        </w:rPr>
      </w:pPr>
    </w:p>
    <w:p w14:paraId="42592B70">
      <w:pPr>
        <w:spacing w:line="440" w:lineRule="exact"/>
        <w:rPr>
          <w:rFonts w:hint="eastAsia" w:ascii="仿宋" w:hAnsi="仿宋" w:eastAsia="仿宋" w:cs="仿宋"/>
          <w:color w:val="auto"/>
          <w:sz w:val="24"/>
          <w:szCs w:val="24"/>
          <w:highlight w:val="none"/>
        </w:rPr>
      </w:pPr>
    </w:p>
    <w:p w14:paraId="002AA854">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8D64F3C">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52E4F10B">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70709B">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 xml:space="preserve">（二）法定代表人授权委托书 </w:t>
      </w:r>
    </w:p>
    <w:p w14:paraId="34181F34">
      <w:pPr>
        <w:spacing w:line="440" w:lineRule="exact"/>
        <w:ind w:left="840"/>
        <w:rPr>
          <w:rFonts w:hint="eastAsia" w:ascii="仿宋" w:hAnsi="仿宋" w:eastAsia="仿宋" w:cs="仿宋"/>
          <w:b/>
          <w:bCs/>
          <w:color w:val="auto"/>
          <w:sz w:val="24"/>
          <w:szCs w:val="24"/>
          <w:highlight w:val="none"/>
        </w:rPr>
      </w:pPr>
    </w:p>
    <w:p w14:paraId="055A9568">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（姓名）系</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（供应商名称）的法定代表人，现委托</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（姓名）为我方代理人。代理人根据授权，以我方名义签署、澄清、说明、补正、递交、撤回、修改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、签订合同和处理有关事宜，其法律后果由我方承担。</w:t>
      </w:r>
    </w:p>
    <w:p w14:paraId="0EA701C6">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委托期限：</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p>
    <w:p w14:paraId="50F1B103">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代理人无转委托权。</w:t>
      </w:r>
    </w:p>
    <w:p w14:paraId="5FEAF52E">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附：委托代理人身份证复印件</w:t>
      </w:r>
    </w:p>
    <w:p w14:paraId="78DA8765">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185E78C7">
      <w:pPr>
        <w:spacing w:line="440" w:lineRule="exact"/>
        <w:ind w:left="84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748A0BCF">
      <w:pPr>
        <w:spacing w:line="440" w:lineRule="exact"/>
        <w:ind w:left="840"/>
        <w:rPr>
          <w:rFonts w:hint="eastAsia" w:ascii="仿宋" w:hAnsi="仿宋" w:eastAsia="仿宋" w:cs="仿宋"/>
          <w:bCs/>
          <w:color w:val="auto"/>
          <w:sz w:val="24"/>
          <w:szCs w:val="24"/>
          <w:highlight w:val="none"/>
        </w:rPr>
      </w:pPr>
    </w:p>
    <w:p w14:paraId="04E4B04A">
      <w:pPr>
        <w:spacing w:line="440" w:lineRule="exact"/>
        <w:ind w:left="840"/>
        <w:rPr>
          <w:rFonts w:hint="eastAsia" w:ascii="仿宋" w:hAnsi="仿宋" w:eastAsia="仿宋" w:cs="仿宋"/>
          <w:bCs/>
          <w:color w:val="auto"/>
          <w:sz w:val="24"/>
          <w:szCs w:val="24"/>
          <w:highlight w:val="none"/>
        </w:rPr>
      </w:pPr>
    </w:p>
    <w:p w14:paraId="04633E5B">
      <w:pPr>
        <w:spacing w:line="440" w:lineRule="exact"/>
        <w:ind w:left="840"/>
        <w:rPr>
          <w:rFonts w:hint="eastAsia" w:ascii="仿宋" w:hAnsi="仿宋" w:eastAsia="仿宋" w:cs="仿宋"/>
          <w:bCs/>
          <w:color w:val="auto"/>
          <w:sz w:val="24"/>
          <w:szCs w:val="24"/>
          <w:highlight w:val="none"/>
        </w:rPr>
      </w:pPr>
    </w:p>
    <w:p w14:paraId="4C600D17">
      <w:pPr>
        <w:spacing w:line="440" w:lineRule="exact"/>
        <w:ind w:left="840"/>
        <w:rPr>
          <w:rFonts w:hint="eastAsia" w:ascii="仿宋" w:hAnsi="仿宋" w:eastAsia="仿宋" w:cs="仿宋"/>
          <w:bCs/>
          <w:color w:val="auto"/>
          <w:sz w:val="24"/>
          <w:szCs w:val="24"/>
          <w:highlight w:val="none"/>
        </w:rPr>
      </w:pPr>
    </w:p>
    <w:p w14:paraId="484C5289">
      <w:pPr>
        <w:spacing w:line="440" w:lineRule="exact"/>
        <w:ind w:firstLine="3600" w:firstLineChars="1500"/>
        <w:rPr>
          <w:rFonts w:hint="eastAsia" w:ascii="仿宋" w:hAnsi="仿宋" w:eastAsia="仿宋" w:cs="仿宋"/>
          <w:bCs/>
          <w:color w:val="auto"/>
          <w:sz w:val="24"/>
          <w:szCs w:val="24"/>
          <w:highlight w:val="none"/>
        </w:rPr>
      </w:pPr>
    </w:p>
    <w:p w14:paraId="50B2E68C">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供应商单位名称：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bCs/>
          <w:color w:val="auto"/>
          <w:sz w:val="24"/>
          <w:szCs w:val="24"/>
          <w:highlight w:val="none"/>
        </w:rPr>
        <w:t>）</w:t>
      </w:r>
    </w:p>
    <w:p w14:paraId="572893E2">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0AC5B6B7">
      <w:pPr>
        <w:spacing w:line="440" w:lineRule="exact"/>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委托代理</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bCs/>
          <w:color w:val="auto"/>
          <w:sz w:val="24"/>
          <w:szCs w:val="24"/>
          <w:highlight w:val="none"/>
        </w:rPr>
        <w:t>）</w:t>
      </w:r>
    </w:p>
    <w:p w14:paraId="67DF572D">
      <w:pPr>
        <w:spacing w:line="440" w:lineRule="exact"/>
        <w:ind w:firstLine="3120" w:firstLineChars="1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身份证号码：</w:t>
      </w:r>
      <w:r>
        <w:rPr>
          <w:rFonts w:hint="eastAsia" w:ascii="仿宋" w:hAnsi="仿宋" w:eastAsia="仿宋" w:cs="仿宋"/>
          <w:bCs/>
          <w:color w:val="auto"/>
          <w:sz w:val="24"/>
          <w:szCs w:val="24"/>
          <w:highlight w:val="none"/>
          <w:u w:val="single"/>
        </w:rPr>
        <w:t xml:space="preserve">                            </w:t>
      </w:r>
    </w:p>
    <w:p w14:paraId="53ABCFD8">
      <w:pPr>
        <w:spacing w:line="440" w:lineRule="exact"/>
        <w:ind w:firstLine="3120" w:firstLineChars="1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委托代理人身份证号码：</w:t>
      </w:r>
      <w:r>
        <w:rPr>
          <w:rFonts w:hint="eastAsia" w:ascii="仿宋" w:hAnsi="仿宋" w:eastAsia="仿宋" w:cs="仿宋"/>
          <w:bCs/>
          <w:color w:val="auto"/>
          <w:sz w:val="24"/>
          <w:szCs w:val="24"/>
          <w:highlight w:val="none"/>
          <w:u w:val="single"/>
        </w:rPr>
        <w:t xml:space="preserve">                  </w:t>
      </w:r>
    </w:p>
    <w:p w14:paraId="488ABF59">
      <w:pPr>
        <w:spacing w:line="440" w:lineRule="exact"/>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085200">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30"/>
          <w:szCs w:val="30"/>
          <w:highlight w:val="none"/>
        </w:rPr>
        <w:t>三、</w:t>
      </w:r>
      <w:r>
        <w:rPr>
          <w:rFonts w:hint="eastAsia" w:ascii="仿宋" w:hAnsi="仿宋" w:eastAsia="仿宋" w:cs="仿宋"/>
          <w:b/>
          <w:color w:val="auto"/>
          <w:sz w:val="30"/>
          <w:szCs w:val="30"/>
          <w:highlight w:val="none"/>
          <w:lang w:eastAsia="zh-CN"/>
        </w:rPr>
        <w:t>响应承诺函</w:t>
      </w:r>
    </w:p>
    <w:p w14:paraId="604D88FD">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u w:val="single"/>
          <w:lang w:val="en-US" w:eastAsia="zh-CN"/>
        </w:rPr>
        <w:t>或</w:t>
      </w:r>
      <w:r>
        <w:rPr>
          <w:rFonts w:hint="eastAsia" w:ascii="仿宋" w:hAnsi="仿宋" w:eastAsia="仿宋" w:cs="仿宋"/>
          <w:color w:val="auto"/>
          <w:sz w:val="24"/>
          <w:szCs w:val="24"/>
          <w:highlight w:val="none"/>
          <w:u w:val="single"/>
        </w:rPr>
        <w:t xml:space="preserve">采购代理机构名称）   </w:t>
      </w:r>
    </w:p>
    <w:p w14:paraId="3E48995A">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我们收到了</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（项目名称</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，已详细审查全部内容（含补遗文件，如有），我们完全理解并同意放弃对上述文件有不明及误解的权利。我方在此郑重承诺，如果我方在本次投标过程存在下述任一行为：</w:t>
      </w:r>
    </w:p>
    <w:p w14:paraId="1ABAFEBC">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磋商有效期</w:t>
      </w:r>
      <w:r>
        <w:rPr>
          <w:rFonts w:hint="eastAsia" w:ascii="仿宋" w:hAnsi="仿宋" w:eastAsia="仿宋" w:cs="仿宋"/>
          <w:color w:val="auto"/>
          <w:sz w:val="24"/>
          <w:szCs w:val="24"/>
          <w:highlight w:val="none"/>
        </w:rPr>
        <w:t>内撤回其投标；</w:t>
      </w:r>
    </w:p>
    <w:p w14:paraId="0ED72AEF">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中提供虚假材料；</w:t>
      </w:r>
    </w:p>
    <w:p w14:paraId="7A75FC0F">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供应商与采购人、其他供应商或者招标代理机构恶意串通的；</w:t>
      </w:r>
    </w:p>
    <w:p w14:paraId="7EB64798">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人除因不可抗力未在法律规定时间内签订合同；</w:t>
      </w:r>
    </w:p>
    <w:p w14:paraId="2C99306A">
      <w:pPr>
        <w:pStyle w:val="20"/>
        <w:numPr>
          <w:ilvl w:val="2"/>
          <w:numId w:val="5"/>
        </w:numPr>
        <w:tabs>
          <w:tab w:val="left" w:pos="1260"/>
          <w:tab w:val="clear" w:pos="1485"/>
        </w:tabs>
        <w:spacing w:line="480" w:lineRule="auto"/>
        <w:ind w:left="1276" w:hanging="5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将中标项目转让给他人，或者在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中未说明，且未经采购人同意，将中标项目分包给他人的；</w:t>
      </w:r>
    </w:p>
    <w:p w14:paraId="4F5BE2C0">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规定按时向招标代理机构交纳代理服务费；</w:t>
      </w:r>
    </w:p>
    <w:p w14:paraId="0C246531">
      <w:pPr>
        <w:pStyle w:val="20"/>
        <w:numPr>
          <w:ilvl w:val="2"/>
          <w:numId w:val="5"/>
        </w:numPr>
        <w:tabs>
          <w:tab w:val="left" w:pos="1260"/>
          <w:tab w:val="clear" w:pos="1485"/>
        </w:tabs>
        <w:spacing w:line="480" w:lineRule="auto"/>
        <w:ind w:hanging="7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其他违反法律法规的情形。</w:t>
      </w:r>
    </w:p>
    <w:p w14:paraId="38E38119">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54DA0CD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F526474">
      <w:pPr>
        <w:spacing w:line="440" w:lineRule="exact"/>
        <w:rPr>
          <w:rFonts w:hint="eastAsia" w:ascii="仿宋" w:hAnsi="仿宋" w:eastAsia="仿宋" w:cs="仿宋"/>
          <w:b/>
          <w:bCs/>
          <w:color w:val="auto"/>
          <w:sz w:val="24"/>
          <w:szCs w:val="24"/>
          <w:highlight w:val="none"/>
        </w:rPr>
      </w:pPr>
    </w:p>
    <w:p w14:paraId="14398B99">
      <w:pPr>
        <w:spacing w:line="440" w:lineRule="exact"/>
        <w:jc w:val="center"/>
        <w:rPr>
          <w:rFonts w:hint="eastAsia" w:ascii="仿宋" w:hAnsi="仿宋" w:eastAsia="仿宋" w:cs="仿宋"/>
          <w:b/>
          <w:bCs/>
          <w:color w:val="auto"/>
          <w:sz w:val="24"/>
          <w:szCs w:val="24"/>
          <w:highlight w:val="none"/>
        </w:rPr>
      </w:pPr>
    </w:p>
    <w:p w14:paraId="65162CAC">
      <w:pPr>
        <w:spacing w:line="440" w:lineRule="exact"/>
        <w:jc w:val="right"/>
        <w:rPr>
          <w:rFonts w:hint="eastAsia" w:ascii="仿宋" w:hAnsi="仿宋" w:eastAsia="仿宋" w:cs="仿宋"/>
          <w:b/>
          <w:bCs/>
          <w:color w:val="auto"/>
          <w:sz w:val="24"/>
          <w:szCs w:val="24"/>
          <w:highlight w:val="none"/>
        </w:rPr>
      </w:pPr>
    </w:p>
    <w:p w14:paraId="7C2AF904">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09BB902">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3C8D3505">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DEF895">
      <w:pPr>
        <w:spacing w:line="440" w:lineRule="exact"/>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br w:type="page"/>
      </w:r>
    </w:p>
    <w:p w14:paraId="05F296DC">
      <w:pPr>
        <w:tabs>
          <w:tab w:val="left" w:pos="540"/>
        </w:tabs>
        <w:jc w:val="center"/>
        <w:rPr>
          <w:rFonts w:hint="eastAsia" w:ascii="仿宋" w:hAnsi="仿宋" w:eastAsia="仿宋" w:cs="仿宋"/>
          <w:b/>
          <w:color w:val="auto"/>
          <w:sz w:val="24"/>
          <w:highlight w:val="none"/>
          <w:lang w:val="zh-CN"/>
        </w:rPr>
      </w:pPr>
      <w:bookmarkStart w:id="597" w:name="_Toc11096"/>
      <w:bookmarkStart w:id="598" w:name="_Toc633"/>
      <w:bookmarkStart w:id="599" w:name="_Toc9811"/>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lang w:val="zh-CN"/>
        </w:rPr>
        <w:t>已标价工程量清单</w:t>
      </w:r>
      <w:bookmarkEnd w:id="597"/>
      <w:bookmarkEnd w:id="598"/>
      <w:bookmarkEnd w:id="599"/>
    </w:p>
    <w:p w14:paraId="51945837">
      <w:pPr>
        <w:rPr>
          <w:rFonts w:hint="eastAsia" w:ascii="仿宋" w:hAnsi="仿宋" w:eastAsia="仿宋" w:cs="仿宋"/>
          <w:b/>
          <w:color w:val="auto"/>
          <w:sz w:val="30"/>
          <w:szCs w:val="30"/>
          <w:highlight w:val="none"/>
          <w:lang w:val="en-US" w:eastAsia="zh-CN"/>
        </w:rPr>
      </w:pPr>
      <w:bookmarkStart w:id="600" w:name="_Toc12541"/>
      <w:bookmarkStart w:id="601" w:name="_Toc7397"/>
      <w:bookmarkStart w:id="602" w:name="_Toc19619"/>
      <w:bookmarkStart w:id="603" w:name="_Toc29230"/>
      <w:bookmarkStart w:id="604" w:name="_Toc10903"/>
      <w:bookmarkStart w:id="605" w:name="_Toc8848"/>
      <w:bookmarkStart w:id="606" w:name="_Toc6714"/>
      <w:r>
        <w:rPr>
          <w:rFonts w:hint="eastAsia" w:ascii="仿宋" w:hAnsi="仿宋" w:eastAsia="仿宋" w:cs="仿宋"/>
          <w:b/>
          <w:color w:val="auto"/>
          <w:sz w:val="30"/>
          <w:szCs w:val="30"/>
          <w:highlight w:val="none"/>
          <w:lang w:val="en-US" w:eastAsia="zh-CN"/>
        </w:rPr>
        <w:br w:type="page"/>
      </w:r>
    </w:p>
    <w:p w14:paraId="233A34FD">
      <w:pPr>
        <w:spacing w:line="560" w:lineRule="exact"/>
        <w:jc w:val="center"/>
        <w:outlineLvl w:val="0"/>
        <w:rPr>
          <w:rFonts w:hint="eastAsia" w:ascii="仿宋" w:hAnsi="仿宋" w:eastAsia="仿宋" w:cs="仿宋"/>
          <w:b/>
          <w:color w:val="auto"/>
          <w:sz w:val="30"/>
          <w:szCs w:val="30"/>
          <w:highlight w:val="none"/>
          <w:lang w:val="zh-CN" w:eastAsia="zh-CN"/>
        </w:rPr>
      </w:pPr>
      <w:bookmarkStart w:id="607" w:name="_Toc29990"/>
      <w:bookmarkStart w:id="608" w:name="_Toc7129"/>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lang w:val="zh-CN"/>
        </w:rPr>
        <w:t>、</w:t>
      </w:r>
      <w:bookmarkStart w:id="609" w:name="_Toc247527847"/>
      <w:bookmarkEnd w:id="609"/>
      <w:bookmarkStart w:id="610" w:name="_Toc152045807"/>
      <w:bookmarkEnd w:id="610"/>
      <w:bookmarkStart w:id="611" w:name="_Toc152042596"/>
      <w:bookmarkEnd w:id="611"/>
      <w:bookmarkStart w:id="612" w:name="_Toc144974875"/>
      <w:bookmarkEnd w:id="612"/>
      <w:bookmarkStart w:id="613" w:name="_Toc247514299"/>
      <w:bookmarkEnd w:id="613"/>
      <w:r>
        <w:rPr>
          <w:rFonts w:hint="eastAsia" w:ascii="仿宋" w:hAnsi="仿宋" w:eastAsia="仿宋" w:cs="仿宋"/>
          <w:b/>
          <w:color w:val="auto"/>
          <w:sz w:val="30"/>
          <w:szCs w:val="30"/>
          <w:highlight w:val="none"/>
          <w:lang w:val="zh-CN"/>
        </w:rPr>
        <w:t>资格</w:t>
      </w:r>
      <w:bookmarkEnd w:id="600"/>
      <w:bookmarkEnd w:id="601"/>
      <w:bookmarkEnd w:id="602"/>
      <w:bookmarkEnd w:id="603"/>
      <w:r>
        <w:rPr>
          <w:rFonts w:hint="eastAsia" w:ascii="仿宋" w:hAnsi="仿宋" w:eastAsia="仿宋" w:cs="仿宋"/>
          <w:b/>
          <w:color w:val="auto"/>
          <w:sz w:val="30"/>
          <w:szCs w:val="30"/>
          <w:highlight w:val="none"/>
          <w:lang w:val="zh-CN" w:eastAsia="zh-CN"/>
        </w:rPr>
        <w:t>证明文件</w:t>
      </w:r>
      <w:bookmarkEnd w:id="604"/>
      <w:bookmarkEnd w:id="605"/>
      <w:bookmarkEnd w:id="606"/>
      <w:bookmarkEnd w:id="607"/>
      <w:bookmarkEnd w:id="608"/>
      <w:bookmarkStart w:id="614" w:name="_Toc152045808"/>
      <w:bookmarkEnd w:id="614"/>
      <w:bookmarkStart w:id="615" w:name="_Toc152042597"/>
      <w:bookmarkEnd w:id="615"/>
      <w:bookmarkStart w:id="616" w:name="_Toc144974876"/>
      <w:bookmarkEnd w:id="616"/>
      <w:bookmarkStart w:id="617" w:name="_Toc247527848"/>
      <w:bookmarkEnd w:id="617"/>
      <w:bookmarkStart w:id="618" w:name="_Toc247514300"/>
      <w:bookmarkEnd w:id="618"/>
      <w:bookmarkStart w:id="619" w:name="_Toc31804_WPSOffice_Level2"/>
      <w:bookmarkStart w:id="620" w:name="_Toc7716_WPSOffice_Level2"/>
      <w:bookmarkStart w:id="621" w:name="_Toc494321544"/>
      <w:bookmarkStart w:id="622" w:name="_Toc13056_WPSOffice_Level2"/>
      <w:bookmarkStart w:id="623" w:name="_Toc7020"/>
      <w:bookmarkStart w:id="624" w:name="_Toc32361"/>
      <w:bookmarkStart w:id="625" w:name="_Toc9918"/>
    </w:p>
    <w:p w14:paraId="7C618F48">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626" w:name="_Toc27542"/>
      <w:bookmarkStart w:id="627" w:name="_Toc27065"/>
      <w:bookmarkStart w:id="628" w:name="_Toc3212"/>
      <w:bookmarkStart w:id="629" w:name="_Toc29146"/>
      <w:r>
        <w:rPr>
          <w:rFonts w:hint="eastAsia" w:ascii="仿宋" w:hAnsi="仿宋" w:eastAsia="仿宋" w:cs="仿宋"/>
          <w:color w:val="auto"/>
          <w:sz w:val="24"/>
          <w:szCs w:val="24"/>
          <w:highlight w:val="none"/>
        </w:rPr>
        <w:t>（一）</w:t>
      </w:r>
      <w:r>
        <w:rPr>
          <w:rFonts w:hint="eastAsia" w:ascii="仿宋" w:hAnsi="仿宋" w:eastAsia="仿宋" w:cs="仿宋"/>
          <w:b/>
          <w:bCs/>
          <w:color w:val="auto"/>
          <w:kern w:val="2"/>
          <w:sz w:val="24"/>
          <w:szCs w:val="24"/>
          <w:highlight w:val="none"/>
          <w:lang w:val="en-US" w:eastAsia="zh-CN" w:bidi="ar-SA"/>
        </w:rPr>
        <w:t>资格承诺声明函</w:t>
      </w:r>
    </w:p>
    <w:p w14:paraId="19F63078">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lang w:bidi="zh-CN"/>
        </w:rPr>
        <w:t xml:space="preserve">           </w:t>
      </w:r>
      <w:r>
        <w:rPr>
          <w:rFonts w:hint="eastAsia" w:ascii="仿宋" w:hAnsi="仿宋" w:eastAsia="仿宋" w:cs="仿宋"/>
          <w:color w:val="auto"/>
          <w:sz w:val="24"/>
          <w:szCs w:val="24"/>
          <w:lang w:bidi="zh-CN"/>
        </w:rPr>
        <w:t>（采购人名称）：</w:t>
      </w:r>
    </w:p>
    <w:p w14:paraId="67406C1E">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我单位自愿参加本次政府采购活动，严格遵守《中华人民共和国政府采购法》及相关法律法规，依法诚信经营，依法遵守本次政府采购活动的各项规定。我单位郑重承诺声明如下：</w:t>
      </w:r>
    </w:p>
    <w:p w14:paraId="0F69920A">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一、我单位全称为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，统一社会信用代码为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，法定代表人（单位负责人）为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，联系方式为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DF32F6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二、我单位具有独立承担民事责任的能力。</w:t>
      </w:r>
    </w:p>
    <w:p w14:paraId="68384674">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三、我单位具有良好的商业信誉和健全的财务会计制度。</w:t>
      </w:r>
    </w:p>
    <w:p w14:paraId="6EDAD5E1">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四、我单位具有履行合同所必需的设备和专业技术能力。</w:t>
      </w:r>
    </w:p>
    <w:p w14:paraId="4B6E3310">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五、我单位有依法缴纳税收和社会保障资金的良好记录。</w:t>
      </w:r>
    </w:p>
    <w:p w14:paraId="49B7FBB2">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17AAA47F">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七、我单位具备法律、行政法规规定的其他条件。</w:t>
      </w:r>
    </w:p>
    <w:p w14:paraId="3492B3CA">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2D7D49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84C945D">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承诺单位（盖单位公章）：</w:t>
      </w:r>
    </w:p>
    <w:p w14:paraId="4DB48210">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法定代表人或授权代表（签字或盖章）：</w:t>
      </w:r>
    </w:p>
    <w:p w14:paraId="1434A1F7">
      <w:pPr>
        <w:keepNext w:val="0"/>
        <w:keepLines w:val="0"/>
        <w:pageBreakBefore w:val="0"/>
        <w:widowControl w:val="0"/>
        <w:kinsoku w:val="0"/>
        <w:wordWrap/>
        <w:overflowPunct/>
        <w:topLinePunct w:val="0"/>
        <w:autoSpaceDE w:val="0"/>
        <w:autoSpaceDN w:val="0"/>
        <w:bidi w:val="0"/>
        <w:adjustRightInd w:val="0"/>
        <w:snapToGrid/>
        <w:spacing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3DAF8A3C">
      <w:pPr>
        <w:keepNext w:val="0"/>
        <w:keepLines w:val="0"/>
        <w:pageBreakBefore w:val="0"/>
        <w:widowControl w:val="0"/>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eastAsia" w:ascii="仿宋" w:hAnsi="仿宋" w:eastAsia="仿宋" w:cs="仿宋"/>
          <w:b/>
          <w:bCs/>
          <w:color w:val="auto"/>
          <w:sz w:val="24"/>
          <w:szCs w:val="24"/>
        </w:rPr>
        <w:t>.</w:t>
      </w:r>
      <w:r>
        <w:rPr>
          <w:rFonts w:hint="eastAsia" w:ascii="仿宋" w:hAnsi="仿宋" w:eastAsia="仿宋" w:cs="仿宋"/>
          <w:color w:val="auto"/>
          <w:sz w:val="24"/>
          <w:szCs w:val="24"/>
        </w:rPr>
        <w:t>供应商须在响应文件中按此模板提供承诺函，未提供视为未实质性响应磋商文件要求，按无效投标处理。</w:t>
      </w:r>
    </w:p>
    <w:p w14:paraId="0CC20B16">
      <w:pPr>
        <w:keepNext w:val="0"/>
        <w:keepLines w:val="0"/>
        <w:pageBreakBefore w:val="0"/>
        <w:widowControl w:val="0"/>
        <w:numPr>
          <w:ilvl w:val="0"/>
          <w:numId w:val="0"/>
        </w:numPr>
        <w:kinsoku w:val="0"/>
        <w:wordWrap/>
        <w:overflowPunct/>
        <w:topLinePunct w:val="0"/>
        <w:autoSpaceDE w:val="0"/>
        <w:autoSpaceDN w:val="0"/>
        <w:bidi w:val="0"/>
        <w:adjustRightInd w:val="0"/>
        <w:snapToGrid/>
        <w:spacing w:line="460" w:lineRule="exact"/>
        <w:textAlignment w:val="baseline"/>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供应商的法定代表人或者授权代表的签字或盖章应真实、有效。</w:t>
      </w:r>
    </w:p>
    <w:p w14:paraId="0931590A">
      <w:pPr>
        <w:pStyle w:val="4"/>
        <w:spacing w:line="360" w:lineRule="auto"/>
        <w:jc w:val="center"/>
        <w:rPr>
          <w:rFonts w:hint="eastAsia" w:ascii="仿宋" w:hAnsi="仿宋" w:eastAsia="仿宋" w:cs="仿宋"/>
          <w:color w:val="auto"/>
          <w:sz w:val="24"/>
          <w:szCs w:val="24"/>
          <w:highlight w:val="none"/>
        </w:rPr>
      </w:pPr>
    </w:p>
    <w:p w14:paraId="216FA6F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C1A4F7">
      <w:pPr>
        <w:pStyle w:val="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w:t>
      </w:r>
      <w:bookmarkEnd w:id="619"/>
      <w:bookmarkEnd w:id="620"/>
      <w:bookmarkEnd w:id="621"/>
      <w:bookmarkEnd w:id="622"/>
      <w:bookmarkEnd w:id="623"/>
      <w:bookmarkEnd w:id="624"/>
      <w:bookmarkEnd w:id="625"/>
      <w:bookmarkEnd w:id="626"/>
      <w:bookmarkEnd w:id="627"/>
      <w:bookmarkEnd w:id="628"/>
      <w:bookmarkEnd w:id="629"/>
    </w:p>
    <w:tbl>
      <w:tblPr>
        <w:tblStyle w:val="27"/>
        <w:tblW w:w="8959" w:type="dxa"/>
        <w:jc w:val="center"/>
        <w:tblLayout w:type="fixed"/>
        <w:tblCellMar>
          <w:top w:w="0" w:type="dxa"/>
          <w:left w:w="108" w:type="dxa"/>
          <w:bottom w:w="0" w:type="dxa"/>
          <w:right w:w="108" w:type="dxa"/>
        </w:tblCellMar>
      </w:tblPr>
      <w:tblGrid>
        <w:gridCol w:w="1806"/>
        <w:gridCol w:w="939"/>
        <w:gridCol w:w="994"/>
        <w:gridCol w:w="878"/>
        <w:gridCol w:w="439"/>
        <w:gridCol w:w="326"/>
        <w:gridCol w:w="1127"/>
        <w:gridCol w:w="512"/>
        <w:gridCol w:w="899"/>
        <w:gridCol w:w="1039"/>
      </w:tblGrid>
      <w:tr w14:paraId="58F53B62">
        <w:tblPrEx>
          <w:tblCellMar>
            <w:top w:w="0" w:type="dxa"/>
            <w:left w:w="108" w:type="dxa"/>
            <w:bottom w:w="0" w:type="dxa"/>
            <w:right w:w="108" w:type="dxa"/>
          </w:tblCellMar>
        </w:tblPrEx>
        <w:trPr>
          <w:trHeight w:val="66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61AAE709">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153" w:type="dxa"/>
            <w:gridSpan w:val="9"/>
            <w:tcBorders>
              <w:top w:val="single" w:color="auto" w:sz="4" w:space="0"/>
              <w:left w:val="nil"/>
              <w:bottom w:val="single" w:color="auto" w:sz="4" w:space="0"/>
              <w:right w:val="single" w:color="auto" w:sz="4" w:space="0"/>
            </w:tcBorders>
            <w:noWrap w:val="0"/>
            <w:vAlign w:val="center"/>
          </w:tcPr>
          <w:p w14:paraId="5995704B">
            <w:pPr>
              <w:topLinePunct/>
              <w:spacing w:line="360" w:lineRule="auto"/>
              <w:jc w:val="center"/>
              <w:rPr>
                <w:rFonts w:hint="eastAsia" w:ascii="仿宋" w:hAnsi="仿宋" w:eastAsia="仿宋" w:cs="仿宋"/>
                <w:color w:val="auto"/>
                <w:sz w:val="24"/>
                <w:szCs w:val="24"/>
                <w:highlight w:val="none"/>
              </w:rPr>
            </w:pPr>
          </w:p>
        </w:tc>
      </w:tr>
      <w:tr w14:paraId="4249351C">
        <w:tblPrEx>
          <w:tblCellMar>
            <w:top w:w="0" w:type="dxa"/>
            <w:left w:w="108" w:type="dxa"/>
            <w:bottom w:w="0" w:type="dxa"/>
            <w:right w:w="108" w:type="dxa"/>
          </w:tblCellMar>
        </w:tblPrEx>
        <w:trPr>
          <w:trHeight w:val="72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1A953D67">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576" w:type="dxa"/>
            <w:gridSpan w:val="5"/>
            <w:tcBorders>
              <w:top w:val="single" w:color="auto" w:sz="4" w:space="0"/>
              <w:left w:val="nil"/>
              <w:bottom w:val="single" w:color="auto" w:sz="4" w:space="0"/>
              <w:right w:val="single" w:color="auto" w:sz="4" w:space="0"/>
            </w:tcBorders>
            <w:noWrap w:val="0"/>
            <w:vAlign w:val="center"/>
          </w:tcPr>
          <w:p w14:paraId="673D77B8">
            <w:pPr>
              <w:topLinePunct/>
              <w:spacing w:line="360" w:lineRule="auto"/>
              <w:jc w:val="center"/>
              <w:rPr>
                <w:rFonts w:hint="eastAsia" w:ascii="仿宋" w:hAnsi="仿宋" w:eastAsia="仿宋" w:cs="仿宋"/>
                <w:color w:val="auto"/>
                <w:sz w:val="24"/>
                <w:szCs w:val="24"/>
                <w:highlight w:val="none"/>
              </w:rPr>
            </w:pPr>
          </w:p>
        </w:tc>
        <w:tc>
          <w:tcPr>
            <w:tcW w:w="1127" w:type="dxa"/>
            <w:tcBorders>
              <w:top w:val="single" w:color="auto" w:sz="4" w:space="0"/>
              <w:left w:val="nil"/>
              <w:bottom w:val="single" w:color="auto" w:sz="4" w:space="0"/>
              <w:right w:val="single" w:color="auto" w:sz="4" w:space="0"/>
            </w:tcBorders>
            <w:noWrap w:val="0"/>
            <w:vAlign w:val="center"/>
          </w:tcPr>
          <w:p w14:paraId="70229BE9">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450" w:type="dxa"/>
            <w:gridSpan w:val="3"/>
            <w:tcBorders>
              <w:top w:val="single" w:color="auto" w:sz="4" w:space="0"/>
              <w:left w:val="nil"/>
              <w:bottom w:val="single" w:color="auto" w:sz="4" w:space="0"/>
              <w:right w:val="single" w:color="auto" w:sz="4" w:space="0"/>
            </w:tcBorders>
            <w:noWrap w:val="0"/>
            <w:vAlign w:val="center"/>
          </w:tcPr>
          <w:p w14:paraId="33EA88E3">
            <w:pPr>
              <w:topLinePunct/>
              <w:spacing w:line="360" w:lineRule="auto"/>
              <w:jc w:val="center"/>
              <w:rPr>
                <w:rFonts w:hint="eastAsia" w:ascii="仿宋" w:hAnsi="仿宋" w:eastAsia="仿宋" w:cs="仿宋"/>
                <w:color w:val="auto"/>
                <w:sz w:val="24"/>
                <w:szCs w:val="24"/>
                <w:highlight w:val="none"/>
              </w:rPr>
            </w:pPr>
          </w:p>
        </w:tc>
      </w:tr>
      <w:tr w14:paraId="5BA2A121">
        <w:tblPrEx>
          <w:tblCellMar>
            <w:top w:w="0" w:type="dxa"/>
            <w:left w:w="108" w:type="dxa"/>
            <w:bottom w:w="0" w:type="dxa"/>
            <w:right w:w="108" w:type="dxa"/>
          </w:tblCellMar>
        </w:tblPrEx>
        <w:trPr>
          <w:cantSplit/>
          <w:trHeight w:val="714" w:hRule="atLeast"/>
          <w:jc w:val="center"/>
        </w:trPr>
        <w:tc>
          <w:tcPr>
            <w:tcW w:w="1806" w:type="dxa"/>
            <w:vMerge w:val="restart"/>
            <w:tcBorders>
              <w:top w:val="nil"/>
              <w:left w:val="single" w:color="auto" w:sz="4" w:space="0"/>
              <w:bottom w:val="single" w:color="auto" w:sz="4" w:space="0"/>
              <w:right w:val="single" w:color="auto" w:sz="4" w:space="0"/>
            </w:tcBorders>
            <w:noWrap w:val="0"/>
            <w:vAlign w:val="center"/>
          </w:tcPr>
          <w:p w14:paraId="22A6AF1E">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939" w:type="dxa"/>
            <w:tcBorders>
              <w:top w:val="single" w:color="auto" w:sz="4" w:space="0"/>
              <w:left w:val="nil"/>
              <w:bottom w:val="single" w:color="auto" w:sz="4" w:space="0"/>
              <w:right w:val="single" w:color="auto" w:sz="4" w:space="0"/>
            </w:tcBorders>
            <w:noWrap w:val="0"/>
            <w:vAlign w:val="center"/>
          </w:tcPr>
          <w:p w14:paraId="7F4BA2C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637" w:type="dxa"/>
            <w:gridSpan w:val="4"/>
            <w:tcBorders>
              <w:top w:val="single" w:color="auto" w:sz="4" w:space="0"/>
              <w:left w:val="nil"/>
              <w:bottom w:val="single" w:color="auto" w:sz="4" w:space="0"/>
              <w:right w:val="single" w:color="auto" w:sz="4" w:space="0"/>
            </w:tcBorders>
            <w:noWrap w:val="0"/>
            <w:vAlign w:val="center"/>
          </w:tcPr>
          <w:p w14:paraId="5FB4A449">
            <w:pPr>
              <w:topLinePunct/>
              <w:spacing w:line="360" w:lineRule="auto"/>
              <w:jc w:val="center"/>
              <w:rPr>
                <w:rFonts w:hint="eastAsia" w:ascii="仿宋" w:hAnsi="仿宋" w:eastAsia="仿宋" w:cs="仿宋"/>
                <w:color w:val="auto"/>
                <w:sz w:val="24"/>
                <w:szCs w:val="24"/>
                <w:highlight w:val="none"/>
              </w:rPr>
            </w:pPr>
          </w:p>
        </w:tc>
        <w:tc>
          <w:tcPr>
            <w:tcW w:w="1127" w:type="dxa"/>
            <w:tcBorders>
              <w:top w:val="single" w:color="auto" w:sz="4" w:space="0"/>
              <w:left w:val="nil"/>
              <w:bottom w:val="single" w:color="auto" w:sz="4" w:space="0"/>
              <w:right w:val="single" w:color="auto" w:sz="4" w:space="0"/>
            </w:tcBorders>
            <w:noWrap w:val="0"/>
            <w:vAlign w:val="center"/>
          </w:tcPr>
          <w:p w14:paraId="72804D1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450" w:type="dxa"/>
            <w:gridSpan w:val="3"/>
            <w:tcBorders>
              <w:top w:val="single" w:color="auto" w:sz="4" w:space="0"/>
              <w:left w:val="nil"/>
              <w:bottom w:val="single" w:color="auto" w:sz="4" w:space="0"/>
              <w:right w:val="single" w:color="auto" w:sz="4" w:space="0"/>
            </w:tcBorders>
            <w:noWrap w:val="0"/>
            <w:vAlign w:val="center"/>
          </w:tcPr>
          <w:p w14:paraId="54B92C97">
            <w:pPr>
              <w:topLinePunct/>
              <w:spacing w:line="360" w:lineRule="auto"/>
              <w:jc w:val="center"/>
              <w:rPr>
                <w:rFonts w:hint="eastAsia" w:ascii="仿宋" w:hAnsi="仿宋" w:eastAsia="仿宋" w:cs="仿宋"/>
                <w:color w:val="auto"/>
                <w:sz w:val="24"/>
                <w:szCs w:val="24"/>
                <w:highlight w:val="none"/>
              </w:rPr>
            </w:pPr>
          </w:p>
        </w:tc>
      </w:tr>
      <w:tr w14:paraId="096FBABE">
        <w:tblPrEx>
          <w:tblCellMar>
            <w:top w:w="0" w:type="dxa"/>
            <w:left w:w="108" w:type="dxa"/>
            <w:bottom w:w="0" w:type="dxa"/>
            <w:right w:w="108" w:type="dxa"/>
          </w:tblCellMar>
        </w:tblPrEx>
        <w:trPr>
          <w:cantSplit/>
          <w:trHeight w:val="723" w:hRule="atLeast"/>
          <w:jc w:val="center"/>
        </w:trPr>
        <w:tc>
          <w:tcPr>
            <w:tcW w:w="1806" w:type="dxa"/>
            <w:vMerge w:val="continue"/>
            <w:tcBorders>
              <w:top w:val="nil"/>
              <w:left w:val="single" w:color="auto" w:sz="4" w:space="0"/>
              <w:bottom w:val="single" w:color="auto" w:sz="4" w:space="0"/>
              <w:right w:val="single" w:color="auto" w:sz="4" w:space="0"/>
            </w:tcBorders>
            <w:noWrap w:val="0"/>
            <w:vAlign w:val="center"/>
          </w:tcPr>
          <w:p w14:paraId="57D3237F">
            <w:pPr>
              <w:widowControl/>
              <w:spacing w:line="360" w:lineRule="auto"/>
              <w:jc w:val="left"/>
              <w:rPr>
                <w:rFonts w:hint="eastAsia" w:ascii="仿宋" w:hAnsi="仿宋" w:eastAsia="仿宋" w:cs="仿宋"/>
                <w:color w:val="auto"/>
                <w:sz w:val="24"/>
                <w:szCs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5C16C9F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637" w:type="dxa"/>
            <w:gridSpan w:val="4"/>
            <w:tcBorders>
              <w:top w:val="single" w:color="auto" w:sz="4" w:space="0"/>
              <w:left w:val="nil"/>
              <w:bottom w:val="single" w:color="auto" w:sz="4" w:space="0"/>
              <w:right w:val="single" w:color="auto" w:sz="4" w:space="0"/>
            </w:tcBorders>
            <w:noWrap w:val="0"/>
            <w:vAlign w:val="center"/>
          </w:tcPr>
          <w:p w14:paraId="099ACEAB">
            <w:pPr>
              <w:topLinePunct/>
              <w:spacing w:line="360" w:lineRule="auto"/>
              <w:jc w:val="center"/>
              <w:rPr>
                <w:rFonts w:hint="eastAsia" w:ascii="仿宋" w:hAnsi="仿宋" w:eastAsia="仿宋" w:cs="仿宋"/>
                <w:color w:val="auto"/>
                <w:sz w:val="24"/>
                <w:szCs w:val="24"/>
                <w:highlight w:val="none"/>
              </w:rPr>
            </w:pPr>
          </w:p>
        </w:tc>
        <w:tc>
          <w:tcPr>
            <w:tcW w:w="1127" w:type="dxa"/>
            <w:tcBorders>
              <w:top w:val="single" w:color="auto" w:sz="4" w:space="0"/>
              <w:left w:val="nil"/>
              <w:bottom w:val="single" w:color="auto" w:sz="4" w:space="0"/>
              <w:right w:val="single" w:color="auto" w:sz="4" w:space="0"/>
            </w:tcBorders>
            <w:noWrap w:val="0"/>
            <w:vAlign w:val="center"/>
          </w:tcPr>
          <w:p w14:paraId="6FEB516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450" w:type="dxa"/>
            <w:gridSpan w:val="3"/>
            <w:tcBorders>
              <w:top w:val="single" w:color="auto" w:sz="4" w:space="0"/>
              <w:left w:val="nil"/>
              <w:bottom w:val="single" w:color="auto" w:sz="4" w:space="0"/>
              <w:right w:val="single" w:color="auto" w:sz="4" w:space="0"/>
            </w:tcBorders>
            <w:noWrap w:val="0"/>
            <w:vAlign w:val="center"/>
          </w:tcPr>
          <w:p w14:paraId="338BC934">
            <w:pPr>
              <w:topLinePunct/>
              <w:spacing w:line="360" w:lineRule="auto"/>
              <w:jc w:val="center"/>
              <w:rPr>
                <w:rFonts w:hint="eastAsia" w:ascii="仿宋" w:hAnsi="仿宋" w:eastAsia="仿宋" w:cs="仿宋"/>
                <w:color w:val="auto"/>
                <w:sz w:val="24"/>
                <w:szCs w:val="24"/>
                <w:highlight w:val="none"/>
              </w:rPr>
            </w:pPr>
          </w:p>
        </w:tc>
      </w:tr>
      <w:tr w14:paraId="5710C3E0">
        <w:tblPrEx>
          <w:tblCellMar>
            <w:top w:w="0" w:type="dxa"/>
            <w:left w:w="108" w:type="dxa"/>
            <w:bottom w:w="0" w:type="dxa"/>
            <w:right w:w="108" w:type="dxa"/>
          </w:tblCellMar>
        </w:tblPrEx>
        <w:trPr>
          <w:trHeight w:val="72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1867B39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7153" w:type="dxa"/>
            <w:gridSpan w:val="9"/>
            <w:tcBorders>
              <w:top w:val="single" w:color="auto" w:sz="4" w:space="0"/>
              <w:left w:val="nil"/>
              <w:bottom w:val="single" w:color="auto" w:sz="4" w:space="0"/>
              <w:right w:val="single" w:color="auto" w:sz="4" w:space="0"/>
            </w:tcBorders>
            <w:noWrap w:val="0"/>
            <w:vAlign w:val="center"/>
          </w:tcPr>
          <w:p w14:paraId="5EF5801E">
            <w:pPr>
              <w:topLinePunct/>
              <w:spacing w:line="360" w:lineRule="auto"/>
              <w:jc w:val="center"/>
              <w:rPr>
                <w:rFonts w:hint="eastAsia" w:ascii="仿宋" w:hAnsi="仿宋" w:eastAsia="仿宋" w:cs="仿宋"/>
                <w:color w:val="auto"/>
                <w:sz w:val="24"/>
                <w:szCs w:val="24"/>
                <w:highlight w:val="none"/>
              </w:rPr>
            </w:pPr>
          </w:p>
        </w:tc>
      </w:tr>
      <w:tr w14:paraId="34AAD63E">
        <w:tblPrEx>
          <w:tblCellMar>
            <w:top w:w="0" w:type="dxa"/>
            <w:left w:w="108" w:type="dxa"/>
            <w:bottom w:w="0" w:type="dxa"/>
            <w:right w:w="108" w:type="dxa"/>
          </w:tblCellMar>
        </w:tblPrEx>
        <w:trPr>
          <w:trHeight w:val="718"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6C9899D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939" w:type="dxa"/>
            <w:tcBorders>
              <w:top w:val="single" w:color="auto" w:sz="4" w:space="0"/>
              <w:left w:val="nil"/>
              <w:bottom w:val="single" w:color="auto" w:sz="4" w:space="0"/>
              <w:right w:val="single" w:color="auto" w:sz="4" w:space="0"/>
            </w:tcBorders>
            <w:noWrap w:val="0"/>
            <w:vAlign w:val="center"/>
          </w:tcPr>
          <w:p w14:paraId="3DB0B314">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tcBorders>
              <w:top w:val="single" w:color="auto" w:sz="4" w:space="0"/>
              <w:left w:val="nil"/>
              <w:bottom w:val="single" w:color="auto" w:sz="4" w:space="0"/>
              <w:right w:val="single" w:color="auto" w:sz="4" w:space="0"/>
            </w:tcBorders>
            <w:noWrap w:val="0"/>
            <w:vAlign w:val="center"/>
          </w:tcPr>
          <w:p w14:paraId="24228546">
            <w:pPr>
              <w:topLinePunct/>
              <w:spacing w:line="360" w:lineRule="auto"/>
              <w:jc w:val="center"/>
              <w:rPr>
                <w:rFonts w:hint="eastAsia" w:ascii="仿宋" w:hAnsi="仿宋" w:eastAsia="仿宋" w:cs="仿宋"/>
                <w:color w:val="auto"/>
                <w:sz w:val="24"/>
                <w:szCs w:val="24"/>
                <w:highlight w:val="none"/>
              </w:rPr>
            </w:pPr>
          </w:p>
        </w:tc>
        <w:tc>
          <w:tcPr>
            <w:tcW w:w="1317" w:type="dxa"/>
            <w:gridSpan w:val="2"/>
            <w:tcBorders>
              <w:top w:val="single" w:color="auto" w:sz="4" w:space="0"/>
              <w:left w:val="nil"/>
              <w:bottom w:val="single" w:color="auto" w:sz="4" w:space="0"/>
              <w:right w:val="single" w:color="auto" w:sz="4" w:space="0"/>
            </w:tcBorders>
            <w:noWrap w:val="0"/>
            <w:vAlign w:val="center"/>
          </w:tcPr>
          <w:p w14:paraId="3AD8567C">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965" w:type="dxa"/>
            <w:gridSpan w:val="3"/>
            <w:tcBorders>
              <w:top w:val="single" w:color="auto" w:sz="4" w:space="0"/>
              <w:left w:val="nil"/>
              <w:bottom w:val="single" w:color="auto" w:sz="4" w:space="0"/>
              <w:right w:val="single" w:color="auto" w:sz="4" w:space="0"/>
            </w:tcBorders>
            <w:noWrap w:val="0"/>
            <w:vAlign w:val="center"/>
          </w:tcPr>
          <w:p w14:paraId="40720CB7">
            <w:pPr>
              <w:topLinePunct/>
              <w:spacing w:line="360" w:lineRule="auto"/>
              <w:jc w:val="center"/>
              <w:rPr>
                <w:rFonts w:hint="eastAsia" w:ascii="仿宋" w:hAnsi="仿宋" w:eastAsia="仿宋" w:cs="仿宋"/>
                <w:color w:val="auto"/>
                <w:sz w:val="24"/>
                <w:szCs w:val="24"/>
                <w:highlight w:val="none"/>
              </w:rPr>
            </w:pPr>
          </w:p>
        </w:tc>
        <w:tc>
          <w:tcPr>
            <w:tcW w:w="899" w:type="dxa"/>
            <w:tcBorders>
              <w:top w:val="single" w:color="auto" w:sz="4" w:space="0"/>
              <w:left w:val="nil"/>
              <w:bottom w:val="single" w:color="auto" w:sz="4" w:space="0"/>
              <w:right w:val="single" w:color="auto" w:sz="4" w:space="0"/>
            </w:tcBorders>
            <w:noWrap w:val="0"/>
            <w:vAlign w:val="center"/>
          </w:tcPr>
          <w:p w14:paraId="17146FD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039" w:type="dxa"/>
            <w:tcBorders>
              <w:top w:val="single" w:color="auto" w:sz="4" w:space="0"/>
              <w:left w:val="nil"/>
              <w:bottom w:val="single" w:color="auto" w:sz="4" w:space="0"/>
              <w:right w:val="single" w:color="auto" w:sz="4" w:space="0"/>
            </w:tcBorders>
            <w:noWrap w:val="0"/>
            <w:vAlign w:val="center"/>
          </w:tcPr>
          <w:p w14:paraId="135D2CBF">
            <w:pPr>
              <w:topLinePunct/>
              <w:spacing w:line="360" w:lineRule="auto"/>
              <w:jc w:val="center"/>
              <w:rPr>
                <w:rFonts w:hint="eastAsia" w:ascii="仿宋" w:hAnsi="仿宋" w:eastAsia="仿宋" w:cs="仿宋"/>
                <w:color w:val="auto"/>
                <w:sz w:val="24"/>
                <w:szCs w:val="24"/>
                <w:highlight w:val="none"/>
              </w:rPr>
            </w:pPr>
          </w:p>
        </w:tc>
      </w:tr>
      <w:tr w14:paraId="19FEFF3E">
        <w:tblPrEx>
          <w:tblCellMar>
            <w:top w:w="0" w:type="dxa"/>
            <w:left w:w="108" w:type="dxa"/>
            <w:bottom w:w="0" w:type="dxa"/>
            <w:right w:w="108" w:type="dxa"/>
          </w:tblCellMar>
        </w:tblPrEx>
        <w:trPr>
          <w:trHeight w:val="71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03089CFB">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939" w:type="dxa"/>
            <w:tcBorders>
              <w:top w:val="single" w:color="auto" w:sz="4" w:space="0"/>
              <w:left w:val="nil"/>
              <w:bottom w:val="single" w:color="auto" w:sz="4" w:space="0"/>
              <w:right w:val="single" w:color="auto" w:sz="4" w:space="0"/>
            </w:tcBorders>
            <w:noWrap w:val="0"/>
            <w:vAlign w:val="center"/>
          </w:tcPr>
          <w:p w14:paraId="2FDB3EFA">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tcBorders>
              <w:top w:val="single" w:color="auto" w:sz="4" w:space="0"/>
              <w:left w:val="nil"/>
              <w:bottom w:val="single" w:color="auto" w:sz="4" w:space="0"/>
              <w:right w:val="single" w:color="auto" w:sz="4" w:space="0"/>
            </w:tcBorders>
            <w:noWrap w:val="0"/>
            <w:vAlign w:val="center"/>
          </w:tcPr>
          <w:p w14:paraId="5AE63370">
            <w:pPr>
              <w:topLinePunct/>
              <w:spacing w:line="360" w:lineRule="auto"/>
              <w:jc w:val="center"/>
              <w:rPr>
                <w:rFonts w:hint="eastAsia" w:ascii="仿宋" w:hAnsi="仿宋" w:eastAsia="仿宋" w:cs="仿宋"/>
                <w:color w:val="auto"/>
                <w:sz w:val="24"/>
                <w:szCs w:val="24"/>
                <w:highlight w:val="none"/>
              </w:rPr>
            </w:pPr>
          </w:p>
        </w:tc>
        <w:tc>
          <w:tcPr>
            <w:tcW w:w="1317" w:type="dxa"/>
            <w:gridSpan w:val="2"/>
            <w:tcBorders>
              <w:top w:val="single" w:color="auto" w:sz="4" w:space="0"/>
              <w:left w:val="nil"/>
              <w:bottom w:val="single" w:color="auto" w:sz="4" w:space="0"/>
              <w:right w:val="single" w:color="auto" w:sz="4" w:space="0"/>
            </w:tcBorders>
            <w:noWrap w:val="0"/>
            <w:vAlign w:val="center"/>
          </w:tcPr>
          <w:p w14:paraId="4165A5F8">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965" w:type="dxa"/>
            <w:gridSpan w:val="3"/>
            <w:tcBorders>
              <w:top w:val="single" w:color="auto" w:sz="4" w:space="0"/>
              <w:left w:val="nil"/>
              <w:bottom w:val="single" w:color="auto" w:sz="4" w:space="0"/>
              <w:right w:val="single" w:color="auto" w:sz="4" w:space="0"/>
            </w:tcBorders>
            <w:noWrap w:val="0"/>
            <w:vAlign w:val="center"/>
          </w:tcPr>
          <w:p w14:paraId="645D4A4C">
            <w:pPr>
              <w:topLinePunct/>
              <w:spacing w:line="360" w:lineRule="auto"/>
              <w:jc w:val="center"/>
              <w:rPr>
                <w:rFonts w:hint="eastAsia" w:ascii="仿宋" w:hAnsi="仿宋" w:eastAsia="仿宋" w:cs="仿宋"/>
                <w:color w:val="auto"/>
                <w:sz w:val="24"/>
                <w:szCs w:val="24"/>
                <w:highlight w:val="none"/>
              </w:rPr>
            </w:pPr>
          </w:p>
        </w:tc>
        <w:tc>
          <w:tcPr>
            <w:tcW w:w="899" w:type="dxa"/>
            <w:tcBorders>
              <w:top w:val="single" w:color="auto" w:sz="4" w:space="0"/>
              <w:left w:val="nil"/>
              <w:bottom w:val="single" w:color="auto" w:sz="4" w:space="0"/>
              <w:right w:val="single" w:color="auto" w:sz="4" w:space="0"/>
            </w:tcBorders>
            <w:noWrap w:val="0"/>
            <w:vAlign w:val="center"/>
          </w:tcPr>
          <w:p w14:paraId="0FBE54F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039" w:type="dxa"/>
            <w:tcBorders>
              <w:top w:val="single" w:color="auto" w:sz="4" w:space="0"/>
              <w:left w:val="nil"/>
              <w:bottom w:val="single" w:color="auto" w:sz="4" w:space="0"/>
              <w:right w:val="single" w:color="auto" w:sz="4" w:space="0"/>
            </w:tcBorders>
            <w:noWrap w:val="0"/>
            <w:vAlign w:val="center"/>
          </w:tcPr>
          <w:p w14:paraId="02B7CC2D">
            <w:pPr>
              <w:topLinePunct/>
              <w:spacing w:line="360" w:lineRule="auto"/>
              <w:jc w:val="center"/>
              <w:rPr>
                <w:rFonts w:hint="eastAsia" w:ascii="仿宋" w:hAnsi="仿宋" w:eastAsia="仿宋" w:cs="仿宋"/>
                <w:color w:val="auto"/>
                <w:sz w:val="24"/>
                <w:szCs w:val="24"/>
                <w:highlight w:val="none"/>
              </w:rPr>
            </w:pPr>
          </w:p>
        </w:tc>
      </w:tr>
      <w:tr w14:paraId="1A47DDC9">
        <w:tblPrEx>
          <w:tblCellMar>
            <w:top w:w="0" w:type="dxa"/>
            <w:left w:w="108" w:type="dxa"/>
            <w:bottom w:w="0" w:type="dxa"/>
            <w:right w:w="108" w:type="dxa"/>
          </w:tblCellMar>
        </w:tblPrEx>
        <w:trPr>
          <w:trHeight w:val="737"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08A79B2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33" w:type="dxa"/>
            <w:gridSpan w:val="2"/>
            <w:tcBorders>
              <w:top w:val="single" w:color="auto" w:sz="4" w:space="0"/>
              <w:left w:val="nil"/>
              <w:bottom w:val="single" w:color="auto" w:sz="4" w:space="0"/>
              <w:right w:val="single" w:color="auto" w:sz="4" w:space="0"/>
            </w:tcBorders>
            <w:noWrap w:val="0"/>
            <w:vAlign w:val="center"/>
          </w:tcPr>
          <w:p w14:paraId="39BBC6FF">
            <w:pPr>
              <w:topLinePunct/>
              <w:spacing w:line="360" w:lineRule="auto"/>
              <w:jc w:val="center"/>
              <w:rPr>
                <w:rFonts w:hint="eastAsia" w:ascii="仿宋" w:hAnsi="仿宋" w:eastAsia="仿宋" w:cs="仿宋"/>
                <w:color w:val="auto"/>
                <w:sz w:val="24"/>
                <w:szCs w:val="24"/>
                <w:highlight w:val="none"/>
              </w:rPr>
            </w:pPr>
          </w:p>
        </w:tc>
        <w:tc>
          <w:tcPr>
            <w:tcW w:w="5220" w:type="dxa"/>
            <w:gridSpan w:val="7"/>
            <w:tcBorders>
              <w:top w:val="single" w:color="auto" w:sz="4" w:space="0"/>
              <w:left w:val="nil"/>
              <w:bottom w:val="single" w:color="auto" w:sz="4" w:space="0"/>
              <w:right w:val="single" w:color="auto" w:sz="4" w:space="0"/>
            </w:tcBorders>
            <w:noWrap w:val="0"/>
            <w:vAlign w:val="center"/>
          </w:tcPr>
          <w:p w14:paraId="195F0673">
            <w:pPr>
              <w:topLinePunct/>
              <w:spacing w:line="360" w:lineRule="auto"/>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32BAA7A2">
        <w:tblPrEx>
          <w:tblCellMar>
            <w:top w:w="0" w:type="dxa"/>
            <w:left w:w="108" w:type="dxa"/>
            <w:bottom w:w="0" w:type="dxa"/>
            <w:right w:w="108" w:type="dxa"/>
          </w:tblCellMar>
        </w:tblPrEx>
        <w:trPr>
          <w:cantSplit/>
          <w:trHeight w:val="77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55893EA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1933" w:type="dxa"/>
            <w:gridSpan w:val="2"/>
            <w:tcBorders>
              <w:top w:val="single" w:color="auto" w:sz="4" w:space="0"/>
              <w:left w:val="nil"/>
              <w:bottom w:val="single" w:color="auto" w:sz="4" w:space="0"/>
              <w:right w:val="single" w:color="auto" w:sz="4" w:space="0"/>
            </w:tcBorders>
            <w:noWrap w:val="0"/>
            <w:vAlign w:val="center"/>
          </w:tcPr>
          <w:p w14:paraId="732EFAFF">
            <w:pPr>
              <w:topLinePunct/>
              <w:spacing w:line="360" w:lineRule="auto"/>
              <w:jc w:val="center"/>
              <w:rPr>
                <w:rFonts w:hint="eastAsia" w:ascii="仿宋" w:hAnsi="仿宋" w:eastAsia="仿宋" w:cs="仿宋"/>
                <w:color w:val="auto"/>
                <w:sz w:val="24"/>
                <w:szCs w:val="24"/>
                <w:highlight w:val="none"/>
              </w:rPr>
            </w:pPr>
          </w:p>
        </w:tc>
        <w:tc>
          <w:tcPr>
            <w:tcW w:w="878" w:type="dxa"/>
            <w:vMerge w:val="restart"/>
            <w:tcBorders>
              <w:top w:val="nil"/>
              <w:left w:val="nil"/>
              <w:bottom w:val="single" w:color="auto" w:sz="4" w:space="0"/>
              <w:right w:val="single" w:color="auto" w:sz="4" w:space="0"/>
            </w:tcBorders>
            <w:noWrap w:val="0"/>
            <w:vAlign w:val="center"/>
          </w:tcPr>
          <w:p w14:paraId="1C683A30">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2404" w:type="dxa"/>
            <w:gridSpan w:val="4"/>
            <w:tcBorders>
              <w:top w:val="single" w:color="auto" w:sz="4" w:space="0"/>
              <w:left w:val="nil"/>
              <w:bottom w:val="single" w:color="auto" w:sz="4" w:space="0"/>
              <w:right w:val="single" w:color="auto" w:sz="4" w:space="0"/>
            </w:tcBorders>
            <w:noWrap w:val="0"/>
            <w:vAlign w:val="center"/>
          </w:tcPr>
          <w:p w14:paraId="4AB7BC65">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938" w:type="dxa"/>
            <w:gridSpan w:val="2"/>
            <w:tcBorders>
              <w:top w:val="single" w:color="auto" w:sz="4" w:space="0"/>
              <w:left w:val="nil"/>
              <w:bottom w:val="single" w:color="auto" w:sz="4" w:space="0"/>
              <w:right w:val="single" w:color="auto" w:sz="4" w:space="0"/>
            </w:tcBorders>
            <w:noWrap w:val="0"/>
            <w:vAlign w:val="center"/>
          </w:tcPr>
          <w:p w14:paraId="1DEA9B16">
            <w:pPr>
              <w:topLinePunct/>
              <w:spacing w:line="360" w:lineRule="auto"/>
              <w:jc w:val="center"/>
              <w:rPr>
                <w:rFonts w:hint="eastAsia" w:ascii="仿宋" w:hAnsi="仿宋" w:eastAsia="仿宋" w:cs="仿宋"/>
                <w:color w:val="auto"/>
                <w:sz w:val="24"/>
                <w:szCs w:val="24"/>
                <w:highlight w:val="none"/>
              </w:rPr>
            </w:pPr>
          </w:p>
        </w:tc>
      </w:tr>
      <w:tr w14:paraId="75AF99CB">
        <w:tblPrEx>
          <w:tblCellMar>
            <w:top w:w="0" w:type="dxa"/>
            <w:left w:w="108" w:type="dxa"/>
            <w:bottom w:w="0" w:type="dxa"/>
            <w:right w:w="108" w:type="dxa"/>
          </w:tblCellMar>
        </w:tblPrEx>
        <w:trPr>
          <w:cantSplit/>
          <w:trHeight w:val="721"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4F214132">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933" w:type="dxa"/>
            <w:gridSpan w:val="2"/>
            <w:tcBorders>
              <w:top w:val="single" w:color="auto" w:sz="4" w:space="0"/>
              <w:left w:val="nil"/>
              <w:bottom w:val="single" w:color="auto" w:sz="4" w:space="0"/>
              <w:right w:val="single" w:color="auto" w:sz="4" w:space="0"/>
            </w:tcBorders>
            <w:noWrap w:val="0"/>
            <w:vAlign w:val="center"/>
          </w:tcPr>
          <w:p w14:paraId="3B187E13">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2D2680D5">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433C7CBD">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3A46B61E">
            <w:pPr>
              <w:topLinePunct/>
              <w:spacing w:line="360" w:lineRule="auto"/>
              <w:jc w:val="center"/>
              <w:rPr>
                <w:rFonts w:hint="eastAsia" w:ascii="仿宋" w:hAnsi="仿宋" w:eastAsia="仿宋" w:cs="仿宋"/>
                <w:color w:val="auto"/>
                <w:sz w:val="24"/>
                <w:szCs w:val="24"/>
                <w:highlight w:val="none"/>
              </w:rPr>
            </w:pPr>
          </w:p>
        </w:tc>
      </w:tr>
      <w:tr w14:paraId="3979429B">
        <w:tblPrEx>
          <w:tblCellMar>
            <w:top w:w="0" w:type="dxa"/>
            <w:left w:w="108" w:type="dxa"/>
            <w:bottom w:w="0" w:type="dxa"/>
            <w:right w:w="108" w:type="dxa"/>
          </w:tblCellMar>
        </w:tblPrEx>
        <w:trPr>
          <w:cantSplit/>
          <w:trHeight w:val="713"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4A960C2D">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933" w:type="dxa"/>
            <w:gridSpan w:val="2"/>
            <w:tcBorders>
              <w:top w:val="single" w:color="auto" w:sz="4" w:space="0"/>
              <w:left w:val="nil"/>
              <w:bottom w:val="single" w:color="auto" w:sz="4" w:space="0"/>
              <w:right w:val="single" w:color="auto" w:sz="4" w:space="0"/>
            </w:tcBorders>
            <w:noWrap w:val="0"/>
            <w:vAlign w:val="center"/>
          </w:tcPr>
          <w:p w14:paraId="1E280ACB">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6E33C475">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40F3345E">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3D691C53">
            <w:pPr>
              <w:topLinePunct/>
              <w:spacing w:line="360" w:lineRule="auto"/>
              <w:jc w:val="center"/>
              <w:rPr>
                <w:rFonts w:hint="eastAsia" w:ascii="仿宋" w:hAnsi="仿宋" w:eastAsia="仿宋" w:cs="仿宋"/>
                <w:color w:val="auto"/>
                <w:sz w:val="24"/>
                <w:szCs w:val="24"/>
                <w:highlight w:val="none"/>
              </w:rPr>
            </w:pPr>
          </w:p>
        </w:tc>
      </w:tr>
      <w:tr w14:paraId="49833A11">
        <w:tblPrEx>
          <w:tblCellMar>
            <w:top w:w="0" w:type="dxa"/>
            <w:left w:w="108" w:type="dxa"/>
            <w:bottom w:w="0" w:type="dxa"/>
            <w:right w:w="108" w:type="dxa"/>
          </w:tblCellMar>
        </w:tblPrEx>
        <w:trPr>
          <w:cantSplit/>
          <w:trHeight w:val="738"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3A672987">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933" w:type="dxa"/>
            <w:gridSpan w:val="2"/>
            <w:tcBorders>
              <w:top w:val="single" w:color="auto" w:sz="4" w:space="0"/>
              <w:left w:val="nil"/>
              <w:bottom w:val="single" w:color="auto" w:sz="4" w:space="0"/>
              <w:right w:val="single" w:color="auto" w:sz="4" w:space="0"/>
            </w:tcBorders>
            <w:noWrap w:val="0"/>
            <w:vAlign w:val="center"/>
          </w:tcPr>
          <w:p w14:paraId="075EFC18">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71D0BF38">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08D28BF4">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1938" w:type="dxa"/>
            <w:gridSpan w:val="2"/>
            <w:tcBorders>
              <w:top w:val="single" w:color="auto" w:sz="4" w:space="0"/>
              <w:left w:val="nil"/>
              <w:bottom w:val="single" w:color="auto" w:sz="4" w:space="0"/>
              <w:right w:val="single" w:color="auto" w:sz="4" w:space="0"/>
            </w:tcBorders>
            <w:noWrap w:val="0"/>
            <w:vAlign w:val="center"/>
          </w:tcPr>
          <w:p w14:paraId="7FB25416">
            <w:pPr>
              <w:topLinePunct/>
              <w:spacing w:line="360" w:lineRule="auto"/>
              <w:jc w:val="center"/>
              <w:rPr>
                <w:rFonts w:hint="eastAsia" w:ascii="仿宋" w:hAnsi="仿宋" w:eastAsia="仿宋" w:cs="仿宋"/>
                <w:color w:val="auto"/>
                <w:sz w:val="24"/>
                <w:szCs w:val="24"/>
                <w:highlight w:val="none"/>
              </w:rPr>
            </w:pPr>
          </w:p>
        </w:tc>
      </w:tr>
      <w:tr w14:paraId="11C72622">
        <w:tblPrEx>
          <w:tblCellMar>
            <w:top w:w="0" w:type="dxa"/>
            <w:left w:w="108" w:type="dxa"/>
            <w:bottom w:w="0" w:type="dxa"/>
            <w:right w:w="108" w:type="dxa"/>
          </w:tblCellMar>
        </w:tblPrEx>
        <w:trPr>
          <w:cantSplit/>
          <w:trHeight w:val="715"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3A345313">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933" w:type="dxa"/>
            <w:gridSpan w:val="2"/>
            <w:tcBorders>
              <w:top w:val="single" w:color="auto" w:sz="4" w:space="0"/>
              <w:left w:val="nil"/>
              <w:bottom w:val="single" w:color="auto" w:sz="4" w:space="0"/>
              <w:right w:val="single" w:color="auto" w:sz="4" w:space="0"/>
            </w:tcBorders>
            <w:noWrap w:val="0"/>
            <w:vAlign w:val="center"/>
          </w:tcPr>
          <w:p w14:paraId="36D2A817">
            <w:pPr>
              <w:topLinePunct/>
              <w:spacing w:line="360" w:lineRule="auto"/>
              <w:jc w:val="center"/>
              <w:rPr>
                <w:rFonts w:hint="eastAsia" w:ascii="仿宋" w:hAnsi="仿宋" w:eastAsia="仿宋" w:cs="仿宋"/>
                <w:color w:val="auto"/>
                <w:sz w:val="24"/>
                <w:szCs w:val="24"/>
                <w:highlight w:val="none"/>
              </w:rPr>
            </w:pPr>
          </w:p>
        </w:tc>
        <w:tc>
          <w:tcPr>
            <w:tcW w:w="878" w:type="dxa"/>
            <w:vMerge w:val="continue"/>
            <w:tcBorders>
              <w:top w:val="nil"/>
              <w:left w:val="nil"/>
              <w:bottom w:val="single" w:color="auto" w:sz="4" w:space="0"/>
              <w:right w:val="single" w:color="auto" w:sz="4" w:space="0"/>
            </w:tcBorders>
            <w:noWrap w:val="0"/>
            <w:vAlign w:val="center"/>
          </w:tcPr>
          <w:p w14:paraId="2B58F8E0">
            <w:pPr>
              <w:widowControl/>
              <w:spacing w:line="360" w:lineRule="auto"/>
              <w:jc w:val="left"/>
              <w:rPr>
                <w:rFonts w:hint="eastAsia" w:ascii="仿宋" w:hAnsi="仿宋" w:eastAsia="仿宋" w:cs="仿宋"/>
                <w:color w:val="auto"/>
                <w:sz w:val="24"/>
                <w:szCs w:val="24"/>
                <w:highlight w:val="none"/>
              </w:rPr>
            </w:pPr>
          </w:p>
        </w:tc>
        <w:tc>
          <w:tcPr>
            <w:tcW w:w="2404" w:type="dxa"/>
            <w:gridSpan w:val="4"/>
            <w:tcBorders>
              <w:top w:val="single" w:color="auto" w:sz="4" w:space="0"/>
              <w:left w:val="nil"/>
              <w:bottom w:val="single" w:color="auto" w:sz="4" w:space="0"/>
              <w:right w:val="single" w:color="auto" w:sz="4" w:space="0"/>
            </w:tcBorders>
            <w:noWrap w:val="0"/>
            <w:vAlign w:val="center"/>
          </w:tcPr>
          <w:p w14:paraId="0B271C28">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技工</w:t>
            </w:r>
          </w:p>
        </w:tc>
        <w:tc>
          <w:tcPr>
            <w:tcW w:w="1938" w:type="dxa"/>
            <w:gridSpan w:val="2"/>
            <w:tcBorders>
              <w:top w:val="single" w:color="auto" w:sz="4" w:space="0"/>
              <w:left w:val="nil"/>
              <w:bottom w:val="single" w:color="auto" w:sz="4" w:space="0"/>
              <w:right w:val="single" w:color="auto" w:sz="4" w:space="0"/>
            </w:tcBorders>
            <w:noWrap w:val="0"/>
            <w:vAlign w:val="center"/>
          </w:tcPr>
          <w:p w14:paraId="53C89746">
            <w:pPr>
              <w:topLinePunct/>
              <w:spacing w:line="360" w:lineRule="auto"/>
              <w:jc w:val="center"/>
              <w:rPr>
                <w:rFonts w:hint="eastAsia" w:ascii="仿宋" w:hAnsi="仿宋" w:eastAsia="仿宋" w:cs="仿宋"/>
                <w:color w:val="auto"/>
                <w:sz w:val="24"/>
                <w:szCs w:val="24"/>
                <w:highlight w:val="none"/>
              </w:rPr>
            </w:pPr>
          </w:p>
        </w:tc>
      </w:tr>
      <w:tr w14:paraId="19A7868B">
        <w:tblPrEx>
          <w:tblCellMar>
            <w:top w:w="0" w:type="dxa"/>
            <w:left w:w="108" w:type="dxa"/>
            <w:bottom w:w="0" w:type="dxa"/>
            <w:right w:w="108" w:type="dxa"/>
          </w:tblCellMar>
        </w:tblPrEx>
        <w:trPr>
          <w:trHeight w:val="1345" w:hRule="atLeast"/>
          <w:jc w:val="center"/>
        </w:trPr>
        <w:tc>
          <w:tcPr>
            <w:tcW w:w="1806" w:type="dxa"/>
            <w:tcBorders>
              <w:top w:val="single" w:color="auto" w:sz="4" w:space="0"/>
              <w:left w:val="single" w:color="auto" w:sz="4" w:space="0"/>
              <w:right w:val="single" w:color="auto" w:sz="4" w:space="0"/>
            </w:tcBorders>
            <w:noWrap w:val="0"/>
            <w:vAlign w:val="center"/>
          </w:tcPr>
          <w:p w14:paraId="2D0B2585">
            <w:pPr>
              <w:topLinePunct/>
              <w:spacing w:line="360" w:lineRule="auto"/>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153" w:type="dxa"/>
            <w:gridSpan w:val="9"/>
            <w:tcBorders>
              <w:top w:val="single" w:color="auto" w:sz="4" w:space="0"/>
              <w:left w:val="nil"/>
              <w:right w:val="single" w:color="auto" w:sz="4" w:space="0"/>
            </w:tcBorders>
            <w:noWrap w:val="0"/>
            <w:vAlign w:val="center"/>
          </w:tcPr>
          <w:p w14:paraId="4E85D5CF">
            <w:pPr>
              <w:topLinePunct/>
              <w:spacing w:line="360" w:lineRule="auto"/>
              <w:rPr>
                <w:rFonts w:hint="eastAsia" w:ascii="仿宋" w:hAnsi="仿宋" w:eastAsia="仿宋" w:cs="仿宋"/>
                <w:color w:val="auto"/>
                <w:sz w:val="24"/>
                <w:szCs w:val="24"/>
                <w:highlight w:val="none"/>
              </w:rPr>
            </w:pPr>
          </w:p>
        </w:tc>
      </w:tr>
      <w:tr w14:paraId="277CB642">
        <w:tblPrEx>
          <w:tblCellMar>
            <w:top w:w="0" w:type="dxa"/>
            <w:left w:w="108" w:type="dxa"/>
            <w:bottom w:w="0" w:type="dxa"/>
            <w:right w:w="108" w:type="dxa"/>
          </w:tblCellMar>
        </w:tblPrEx>
        <w:trPr>
          <w:trHeight w:val="750" w:hRule="atLeast"/>
          <w:jc w:val="center"/>
        </w:trPr>
        <w:tc>
          <w:tcPr>
            <w:tcW w:w="1806" w:type="dxa"/>
            <w:tcBorders>
              <w:top w:val="single" w:color="auto" w:sz="4" w:space="0"/>
              <w:left w:val="single" w:color="auto" w:sz="4" w:space="0"/>
              <w:bottom w:val="single" w:color="auto" w:sz="4" w:space="0"/>
              <w:right w:val="single" w:color="auto" w:sz="4" w:space="0"/>
            </w:tcBorders>
            <w:noWrap w:val="0"/>
            <w:vAlign w:val="center"/>
          </w:tcPr>
          <w:p w14:paraId="5F7F141F">
            <w:pPr>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153" w:type="dxa"/>
            <w:gridSpan w:val="9"/>
            <w:tcBorders>
              <w:top w:val="single" w:color="auto" w:sz="4" w:space="0"/>
              <w:left w:val="nil"/>
              <w:bottom w:val="single" w:color="auto" w:sz="4" w:space="0"/>
              <w:right w:val="single" w:color="auto" w:sz="4" w:space="0"/>
            </w:tcBorders>
            <w:noWrap w:val="0"/>
            <w:vAlign w:val="center"/>
          </w:tcPr>
          <w:p w14:paraId="61C33B0C">
            <w:pPr>
              <w:topLinePunct/>
              <w:spacing w:line="360" w:lineRule="auto"/>
              <w:jc w:val="center"/>
              <w:rPr>
                <w:rFonts w:hint="eastAsia" w:ascii="仿宋" w:hAnsi="仿宋" w:eastAsia="仿宋" w:cs="仿宋"/>
                <w:color w:val="auto"/>
                <w:sz w:val="24"/>
                <w:szCs w:val="24"/>
                <w:highlight w:val="none"/>
              </w:rPr>
            </w:pPr>
          </w:p>
        </w:tc>
      </w:tr>
    </w:tbl>
    <w:p w14:paraId="231B5AB9">
      <w:pPr>
        <w:rPr>
          <w:rFonts w:hint="eastAsia"/>
        </w:rPr>
      </w:pPr>
      <w:bookmarkStart w:id="630" w:name="_Toc16517"/>
      <w:r>
        <w:rPr>
          <w:rFonts w:hint="eastAsia" w:ascii="仿宋" w:hAnsi="仿宋" w:eastAsia="仿宋" w:cs="仿宋"/>
          <w:color w:val="auto"/>
          <w:sz w:val="24"/>
          <w:szCs w:val="24"/>
          <w:highlight w:val="none"/>
        </w:rPr>
        <w:br w:type="page"/>
      </w:r>
    </w:p>
    <w:bookmarkEnd w:id="630"/>
    <w:p w14:paraId="7BB1168F">
      <w:pPr>
        <w:pStyle w:val="4"/>
        <w:numPr>
          <w:ilvl w:val="0"/>
          <w:numId w:val="0"/>
        </w:numPr>
        <w:spacing w:line="240" w:lineRule="auto"/>
        <w:jc w:val="center"/>
        <w:rPr>
          <w:rFonts w:hint="eastAsia" w:ascii="仿宋" w:hAnsi="仿宋" w:eastAsia="仿宋" w:cs="仿宋"/>
          <w:b/>
          <w:bCs/>
          <w:color w:val="auto"/>
          <w:kern w:val="2"/>
          <w:sz w:val="24"/>
          <w:szCs w:val="24"/>
          <w:highlight w:val="none"/>
          <w:lang w:val="en-US" w:eastAsia="zh-CN" w:bidi="ar-SA"/>
        </w:rPr>
      </w:pPr>
      <w:bookmarkStart w:id="631" w:name="_Toc12020"/>
      <w:r>
        <w:rPr>
          <w:rFonts w:hint="eastAsia" w:ascii="仿宋" w:hAnsi="仿宋" w:eastAsia="仿宋" w:cs="仿宋"/>
          <w:b/>
          <w:bCs/>
          <w:color w:val="auto"/>
          <w:kern w:val="2"/>
          <w:sz w:val="24"/>
          <w:szCs w:val="24"/>
          <w:highlight w:val="none"/>
          <w:lang w:val="en-US" w:eastAsia="zh-CN" w:bidi="ar-SA"/>
        </w:rPr>
        <w:t>（三）能证明供应商资格的其他资料</w:t>
      </w:r>
    </w:p>
    <w:bookmarkEnd w:id="631"/>
    <w:p w14:paraId="35450C5D">
      <w:pPr>
        <w:pStyle w:val="2"/>
        <w:numPr>
          <w:ilvl w:val="0"/>
          <w:numId w:val="0"/>
        </w:num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（供应商资格证明材料包含但不仅限于以下内容）</w:t>
      </w:r>
    </w:p>
    <w:p w14:paraId="06A89CB6">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1、有效的营业执照</w:t>
      </w:r>
    </w:p>
    <w:p w14:paraId="260F5397">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2、公路工程施工总承包参级及以上资质</w:t>
      </w:r>
    </w:p>
    <w:p w14:paraId="0CFF8746">
      <w:pPr>
        <w:pStyle w:val="2"/>
        <w:numPr>
          <w:ilvl w:val="0"/>
          <w:numId w:val="0"/>
        </w:num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3、有效的安全生产许可证，并在人员、设备、资金等方面具有相应的施工能力</w:t>
      </w:r>
    </w:p>
    <w:p w14:paraId="400E80C8">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4、项目经理公路工程贰级及以上注册建造师(不含临时)资格，具有有效期内安全生产考核合格证书(B证)，需提供本单位缴纳的社保证明(近三个月)，且未担任其他在建工程项目经理(提供无在建承诺书)</w:t>
      </w:r>
    </w:p>
    <w:p w14:paraId="2F1931C3">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5、根据《财政部关于在政府采购活动中查询及使用信用记录有关问题的通知》(财库[2016]125 号)和豫财购【2016】15号的规定，对列入失信被执行人、重大税收违法失信主体、政府采购严重违法失信行为记录名单的供应商，拒绝参与本项目政府采购活动:供应商可通过“信用中国”网站(wuw creditchina.gov.cn)、中国政府采购网(WW:SS&amp;R gOv. )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p>
    <w:p w14:paraId="07EEB91C">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单位负责人为同一人或者存在直接控股、管理关系的不同响应人，不得参加同一合同项下的政府采购活动。(提供“国家企业信用信息公示系统”查询结果，需包含公司基本信息股东信息及股权变更信息等内容)。</w:t>
      </w:r>
    </w:p>
    <w:p w14:paraId="250C9C20">
      <w:pPr>
        <w:pStyle w:val="2"/>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7、《中小企业声明函》</w:t>
      </w:r>
    </w:p>
    <w:p w14:paraId="47769FED">
      <w:pPr>
        <w:pStyle w:val="2"/>
        <w:numPr>
          <w:ilvl w:val="0"/>
          <w:numId w:val="0"/>
        </w:num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8、供应商认为能够证明其满足资格审查的其他材料</w:t>
      </w:r>
    </w:p>
    <w:p w14:paraId="306D1DAA">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4A73CE4">
      <w:pPr>
        <w:jc w:val="center"/>
        <w:rPr>
          <w:rFonts w:hint="eastAsia" w:ascii="仿宋" w:hAnsi="仿宋" w:eastAsia="仿宋" w:cs="仿宋"/>
          <w:b/>
          <w:color w:val="auto"/>
          <w:sz w:val="30"/>
          <w:szCs w:val="30"/>
          <w:highlight w:val="none"/>
          <w:lang w:val="zh-CN" w:eastAsia="zh-CN"/>
        </w:rPr>
      </w:pPr>
      <w:bookmarkStart w:id="632" w:name="_Toc26294"/>
      <w:bookmarkStart w:id="633" w:name="_Toc5591"/>
      <w:bookmarkStart w:id="634" w:name="_Toc22775"/>
      <w:bookmarkStart w:id="635" w:name="_Toc21659"/>
      <w:bookmarkStart w:id="636" w:name="_Toc22068"/>
      <w:bookmarkStart w:id="637" w:name="_Toc559"/>
      <w:bookmarkStart w:id="638" w:name="_Toc28175"/>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val="zh-CN" w:eastAsia="zh-CN"/>
        </w:rPr>
        <w:t>、技术文件</w:t>
      </w:r>
      <w:bookmarkEnd w:id="632"/>
      <w:bookmarkEnd w:id="633"/>
      <w:bookmarkEnd w:id="634"/>
      <w:bookmarkEnd w:id="635"/>
      <w:bookmarkEnd w:id="636"/>
      <w:bookmarkEnd w:id="637"/>
      <w:bookmarkEnd w:id="638"/>
    </w:p>
    <w:p w14:paraId="08C3E5DB">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编制施工组织设计的要求：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应根据竞争性磋商文件和对现场的勘察情况，采用文字并结合图表形式，参考以下要点编制本工程的施工组织设计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59A7825">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（1）施工方案与技术措施</w:t>
      </w:r>
    </w:p>
    <w:p w14:paraId="55B6529D">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（2）质量管理体系与措施</w:t>
      </w:r>
    </w:p>
    <w:p w14:paraId="5B25E0A4">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（3）安全管理体系与措施</w:t>
      </w:r>
    </w:p>
    <w:p w14:paraId="73F3E547">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（4）文明施工、环境保护管理体系</w:t>
      </w:r>
    </w:p>
    <w:p w14:paraId="23B4A8DA">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（5）工期保证措施</w:t>
      </w:r>
    </w:p>
    <w:p w14:paraId="2C993297">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（6）拟投入资源配备计划</w:t>
      </w:r>
    </w:p>
    <w:p w14:paraId="1A9E5C9A">
      <w:pPr>
        <w:tabs>
          <w:tab w:val="left" w:pos="720"/>
        </w:tabs>
        <w:spacing w:line="440" w:lineRule="exact"/>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）施工总平面图布置</w:t>
      </w:r>
    </w:p>
    <w:p w14:paraId="173C540D">
      <w:pPr>
        <w:tabs>
          <w:tab w:val="left" w:pos="720"/>
        </w:tabs>
        <w:spacing w:line="440" w:lineRule="exact"/>
        <w:ind w:firstLine="864" w:firstLineChars="360"/>
        <w:rPr>
          <w:rFonts w:hint="eastAsia" w:ascii="仿宋" w:hAnsi="仿宋" w:eastAsia="仿宋" w:cs="仿宋"/>
          <w:b/>
          <w:color w:val="auto"/>
          <w:sz w:val="24"/>
          <w:szCs w:val="24"/>
          <w:highlight w:val="none"/>
          <w:lang w:val="en-US" w:eastAsia="zh-CN"/>
        </w:rPr>
        <w:sectPr>
          <w:footerReference r:id="rId19"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bookmarkStart w:id="639" w:name="_Toc31805"/>
      <w:bookmarkStart w:id="640" w:name="_Toc9770"/>
      <w:bookmarkStart w:id="641" w:name="_Toc2263"/>
      <w:r>
        <w:rPr>
          <w:rFonts w:hint="eastAsia" w:ascii="仿宋" w:hAnsi="仿宋" w:eastAsia="仿宋" w:cs="仿宋"/>
          <w:color w:val="auto"/>
          <w:sz w:val="24"/>
          <w:szCs w:val="24"/>
          <w:highlight w:val="none"/>
        </w:rPr>
        <w:t>项目风险预测与防范、事故应急预案</w:t>
      </w:r>
    </w:p>
    <w:p w14:paraId="0ABDE8D0">
      <w:pPr>
        <w:autoSpaceDE w:val="0"/>
        <w:autoSpaceDN w:val="0"/>
        <w:adjustRightInd w:val="0"/>
        <w:spacing w:line="360" w:lineRule="auto"/>
        <w:jc w:val="center"/>
        <w:outlineLvl w:val="1"/>
        <w:rPr>
          <w:rFonts w:hint="eastAsia" w:ascii="仿宋" w:hAnsi="仿宋" w:eastAsia="仿宋" w:cs="仿宋"/>
          <w:b/>
          <w:color w:val="auto"/>
          <w:sz w:val="30"/>
          <w:szCs w:val="30"/>
          <w:highlight w:val="none"/>
        </w:rPr>
      </w:pPr>
      <w:bookmarkStart w:id="642" w:name="_Toc28296"/>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、项目管理机构</w:t>
      </w:r>
      <w:bookmarkEnd w:id="639"/>
      <w:bookmarkEnd w:id="640"/>
      <w:bookmarkEnd w:id="641"/>
      <w:bookmarkEnd w:id="642"/>
    </w:p>
    <w:p w14:paraId="73EC0C45">
      <w:pPr>
        <w:keepNext/>
        <w:keepLines/>
        <w:spacing w:line="560" w:lineRule="exact"/>
        <w:jc w:val="center"/>
        <w:outlineLvl w:val="3"/>
        <w:rPr>
          <w:rFonts w:hint="eastAsia" w:ascii="仿宋" w:hAnsi="仿宋" w:eastAsia="仿宋" w:cs="仿宋"/>
          <w:b/>
          <w:bCs/>
          <w:color w:val="auto"/>
          <w:kern w:val="0"/>
          <w:sz w:val="24"/>
          <w:szCs w:val="24"/>
          <w:highlight w:val="none"/>
        </w:rPr>
      </w:pPr>
      <w:bookmarkStart w:id="643" w:name="_Toc29273"/>
      <w:r>
        <w:rPr>
          <w:rFonts w:hint="eastAsia" w:ascii="仿宋" w:hAnsi="仿宋" w:eastAsia="仿宋" w:cs="仿宋"/>
          <w:b/>
          <w:bCs/>
          <w:color w:val="auto"/>
          <w:kern w:val="0"/>
          <w:sz w:val="24"/>
          <w:szCs w:val="24"/>
          <w:highlight w:val="none"/>
        </w:rPr>
        <w:t>（一）项目管理机构组成表</w:t>
      </w:r>
      <w:bookmarkEnd w:id="643"/>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7"/>
        <w:gridCol w:w="817"/>
        <w:gridCol w:w="1333"/>
        <w:gridCol w:w="1162"/>
        <w:gridCol w:w="2000"/>
        <w:gridCol w:w="1061"/>
        <w:gridCol w:w="982"/>
      </w:tblGrid>
      <w:tr w14:paraId="62DE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56" w:type="dxa"/>
            <w:vMerge w:val="restart"/>
            <w:noWrap w:val="0"/>
            <w:vAlign w:val="center"/>
          </w:tcPr>
          <w:p w14:paraId="437E5ED9">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667" w:type="dxa"/>
            <w:vMerge w:val="restart"/>
            <w:noWrap w:val="0"/>
            <w:vAlign w:val="center"/>
          </w:tcPr>
          <w:p w14:paraId="69D809F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17" w:type="dxa"/>
            <w:vMerge w:val="restart"/>
            <w:noWrap w:val="0"/>
            <w:vAlign w:val="center"/>
          </w:tcPr>
          <w:p w14:paraId="44E4504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5556" w:type="dxa"/>
            <w:gridSpan w:val="4"/>
            <w:noWrap w:val="0"/>
            <w:vAlign w:val="center"/>
          </w:tcPr>
          <w:p w14:paraId="71C1D379">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982" w:type="dxa"/>
            <w:vMerge w:val="restart"/>
            <w:noWrap w:val="0"/>
            <w:vAlign w:val="center"/>
          </w:tcPr>
          <w:p w14:paraId="2AEA6A11">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2BF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56" w:type="dxa"/>
            <w:vMerge w:val="continue"/>
            <w:noWrap w:val="0"/>
            <w:vAlign w:val="top"/>
          </w:tcPr>
          <w:p w14:paraId="42A16C68">
            <w:pPr>
              <w:spacing w:line="560" w:lineRule="exact"/>
              <w:rPr>
                <w:rFonts w:hint="eastAsia" w:ascii="仿宋" w:hAnsi="仿宋" w:eastAsia="仿宋" w:cs="仿宋"/>
                <w:color w:val="auto"/>
                <w:sz w:val="24"/>
                <w:szCs w:val="24"/>
                <w:highlight w:val="none"/>
              </w:rPr>
            </w:pPr>
          </w:p>
        </w:tc>
        <w:tc>
          <w:tcPr>
            <w:tcW w:w="667" w:type="dxa"/>
            <w:vMerge w:val="continue"/>
            <w:noWrap w:val="0"/>
            <w:vAlign w:val="top"/>
          </w:tcPr>
          <w:p w14:paraId="67225EAA">
            <w:pPr>
              <w:spacing w:line="560" w:lineRule="exact"/>
              <w:rPr>
                <w:rFonts w:hint="eastAsia" w:ascii="仿宋" w:hAnsi="仿宋" w:eastAsia="仿宋" w:cs="仿宋"/>
                <w:color w:val="auto"/>
                <w:sz w:val="24"/>
                <w:szCs w:val="24"/>
                <w:highlight w:val="none"/>
              </w:rPr>
            </w:pPr>
          </w:p>
        </w:tc>
        <w:tc>
          <w:tcPr>
            <w:tcW w:w="817" w:type="dxa"/>
            <w:vMerge w:val="continue"/>
            <w:noWrap w:val="0"/>
            <w:vAlign w:val="top"/>
          </w:tcPr>
          <w:p w14:paraId="2032AFA9">
            <w:pPr>
              <w:spacing w:line="560" w:lineRule="exact"/>
              <w:rPr>
                <w:rFonts w:hint="eastAsia" w:ascii="仿宋" w:hAnsi="仿宋" w:eastAsia="仿宋" w:cs="仿宋"/>
                <w:color w:val="auto"/>
                <w:sz w:val="24"/>
                <w:szCs w:val="24"/>
                <w:highlight w:val="none"/>
              </w:rPr>
            </w:pPr>
          </w:p>
        </w:tc>
        <w:tc>
          <w:tcPr>
            <w:tcW w:w="1333" w:type="dxa"/>
            <w:noWrap w:val="0"/>
            <w:vAlign w:val="center"/>
          </w:tcPr>
          <w:p w14:paraId="1B0F399A">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1162" w:type="dxa"/>
            <w:noWrap w:val="0"/>
            <w:vAlign w:val="center"/>
          </w:tcPr>
          <w:p w14:paraId="63C5A61C">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2000" w:type="dxa"/>
            <w:noWrap w:val="0"/>
            <w:vAlign w:val="center"/>
          </w:tcPr>
          <w:p w14:paraId="57FF98C4">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1061" w:type="dxa"/>
            <w:noWrap w:val="0"/>
            <w:vAlign w:val="center"/>
          </w:tcPr>
          <w:p w14:paraId="4162FC04">
            <w:pPr>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专业</w:t>
            </w:r>
          </w:p>
        </w:tc>
        <w:tc>
          <w:tcPr>
            <w:tcW w:w="982" w:type="dxa"/>
            <w:vMerge w:val="continue"/>
            <w:noWrap w:val="0"/>
            <w:vAlign w:val="top"/>
          </w:tcPr>
          <w:p w14:paraId="15E6CECC">
            <w:pPr>
              <w:spacing w:line="560" w:lineRule="exact"/>
              <w:rPr>
                <w:rFonts w:hint="eastAsia" w:ascii="仿宋" w:hAnsi="仿宋" w:eastAsia="仿宋" w:cs="仿宋"/>
                <w:color w:val="auto"/>
                <w:sz w:val="24"/>
                <w:szCs w:val="24"/>
                <w:highlight w:val="none"/>
              </w:rPr>
            </w:pPr>
          </w:p>
        </w:tc>
      </w:tr>
      <w:tr w14:paraId="4218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4094B49">
            <w:pPr>
              <w:spacing w:line="560" w:lineRule="exact"/>
              <w:rPr>
                <w:rFonts w:hint="eastAsia" w:ascii="仿宋" w:hAnsi="仿宋" w:eastAsia="仿宋" w:cs="仿宋"/>
                <w:color w:val="auto"/>
                <w:sz w:val="24"/>
                <w:szCs w:val="24"/>
                <w:highlight w:val="none"/>
              </w:rPr>
            </w:pPr>
          </w:p>
        </w:tc>
        <w:tc>
          <w:tcPr>
            <w:tcW w:w="667" w:type="dxa"/>
            <w:noWrap w:val="0"/>
            <w:vAlign w:val="top"/>
          </w:tcPr>
          <w:p w14:paraId="79C4982B">
            <w:pPr>
              <w:spacing w:line="560" w:lineRule="exact"/>
              <w:rPr>
                <w:rFonts w:hint="eastAsia" w:ascii="仿宋" w:hAnsi="仿宋" w:eastAsia="仿宋" w:cs="仿宋"/>
                <w:color w:val="auto"/>
                <w:sz w:val="24"/>
                <w:szCs w:val="24"/>
                <w:highlight w:val="none"/>
              </w:rPr>
            </w:pPr>
          </w:p>
        </w:tc>
        <w:tc>
          <w:tcPr>
            <w:tcW w:w="817" w:type="dxa"/>
            <w:noWrap w:val="0"/>
            <w:vAlign w:val="top"/>
          </w:tcPr>
          <w:p w14:paraId="09F1C552">
            <w:pPr>
              <w:spacing w:line="560" w:lineRule="exact"/>
              <w:rPr>
                <w:rFonts w:hint="eastAsia" w:ascii="仿宋" w:hAnsi="仿宋" w:eastAsia="仿宋" w:cs="仿宋"/>
                <w:color w:val="auto"/>
                <w:sz w:val="24"/>
                <w:szCs w:val="24"/>
                <w:highlight w:val="none"/>
              </w:rPr>
            </w:pPr>
          </w:p>
        </w:tc>
        <w:tc>
          <w:tcPr>
            <w:tcW w:w="1333" w:type="dxa"/>
            <w:noWrap w:val="0"/>
            <w:vAlign w:val="top"/>
          </w:tcPr>
          <w:p w14:paraId="353FC61F">
            <w:pPr>
              <w:spacing w:line="560" w:lineRule="exact"/>
              <w:rPr>
                <w:rFonts w:hint="eastAsia" w:ascii="仿宋" w:hAnsi="仿宋" w:eastAsia="仿宋" w:cs="仿宋"/>
                <w:color w:val="auto"/>
                <w:sz w:val="24"/>
                <w:szCs w:val="24"/>
                <w:highlight w:val="none"/>
              </w:rPr>
            </w:pPr>
          </w:p>
        </w:tc>
        <w:tc>
          <w:tcPr>
            <w:tcW w:w="1162" w:type="dxa"/>
            <w:noWrap w:val="0"/>
            <w:vAlign w:val="top"/>
          </w:tcPr>
          <w:p w14:paraId="288082F9">
            <w:pPr>
              <w:spacing w:line="560" w:lineRule="exact"/>
              <w:rPr>
                <w:rFonts w:hint="eastAsia" w:ascii="仿宋" w:hAnsi="仿宋" w:eastAsia="仿宋" w:cs="仿宋"/>
                <w:color w:val="auto"/>
                <w:sz w:val="24"/>
                <w:szCs w:val="24"/>
                <w:highlight w:val="none"/>
              </w:rPr>
            </w:pPr>
          </w:p>
        </w:tc>
        <w:tc>
          <w:tcPr>
            <w:tcW w:w="2000" w:type="dxa"/>
            <w:noWrap w:val="0"/>
            <w:vAlign w:val="top"/>
          </w:tcPr>
          <w:p w14:paraId="7AE6FA0B">
            <w:pPr>
              <w:spacing w:line="560" w:lineRule="exact"/>
              <w:rPr>
                <w:rFonts w:hint="eastAsia" w:ascii="仿宋" w:hAnsi="仿宋" w:eastAsia="仿宋" w:cs="仿宋"/>
                <w:color w:val="auto"/>
                <w:sz w:val="24"/>
                <w:szCs w:val="24"/>
                <w:highlight w:val="none"/>
              </w:rPr>
            </w:pPr>
          </w:p>
        </w:tc>
        <w:tc>
          <w:tcPr>
            <w:tcW w:w="1061" w:type="dxa"/>
            <w:noWrap w:val="0"/>
            <w:vAlign w:val="top"/>
          </w:tcPr>
          <w:p w14:paraId="745313A6">
            <w:pPr>
              <w:spacing w:line="560" w:lineRule="exact"/>
              <w:jc w:val="center"/>
              <w:rPr>
                <w:rFonts w:hint="eastAsia" w:ascii="仿宋" w:hAnsi="仿宋" w:eastAsia="仿宋" w:cs="仿宋"/>
                <w:color w:val="auto"/>
                <w:sz w:val="24"/>
                <w:szCs w:val="24"/>
                <w:highlight w:val="none"/>
              </w:rPr>
            </w:pPr>
          </w:p>
        </w:tc>
        <w:tc>
          <w:tcPr>
            <w:tcW w:w="982" w:type="dxa"/>
            <w:noWrap w:val="0"/>
            <w:vAlign w:val="top"/>
          </w:tcPr>
          <w:p w14:paraId="3DDAFD46">
            <w:pPr>
              <w:spacing w:line="560" w:lineRule="exact"/>
              <w:rPr>
                <w:rFonts w:hint="eastAsia" w:ascii="仿宋" w:hAnsi="仿宋" w:eastAsia="仿宋" w:cs="仿宋"/>
                <w:color w:val="auto"/>
                <w:sz w:val="24"/>
                <w:szCs w:val="24"/>
                <w:highlight w:val="none"/>
              </w:rPr>
            </w:pPr>
          </w:p>
        </w:tc>
      </w:tr>
      <w:tr w14:paraId="4B7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3E062EC3">
            <w:pPr>
              <w:spacing w:line="560" w:lineRule="exact"/>
              <w:rPr>
                <w:rFonts w:hint="eastAsia" w:ascii="仿宋" w:hAnsi="仿宋" w:eastAsia="仿宋" w:cs="仿宋"/>
                <w:color w:val="auto"/>
                <w:sz w:val="24"/>
                <w:szCs w:val="24"/>
                <w:highlight w:val="none"/>
              </w:rPr>
            </w:pPr>
          </w:p>
        </w:tc>
        <w:tc>
          <w:tcPr>
            <w:tcW w:w="667" w:type="dxa"/>
            <w:noWrap w:val="0"/>
            <w:vAlign w:val="top"/>
          </w:tcPr>
          <w:p w14:paraId="22974E33">
            <w:pPr>
              <w:spacing w:line="560" w:lineRule="exact"/>
              <w:rPr>
                <w:rFonts w:hint="eastAsia" w:ascii="仿宋" w:hAnsi="仿宋" w:eastAsia="仿宋" w:cs="仿宋"/>
                <w:color w:val="auto"/>
                <w:sz w:val="24"/>
                <w:szCs w:val="24"/>
                <w:highlight w:val="none"/>
              </w:rPr>
            </w:pPr>
          </w:p>
        </w:tc>
        <w:tc>
          <w:tcPr>
            <w:tcW w:w="817" w:type="dxa"/>
            <w:noWrap w:val="0"/>
            <w:vAlign w:val="top"/>
          </w:tcPr>
          <w:p w14:paraId="43008E73">
            <w:pPr>
              <w:spacing w:line="560" w:lineRule="exact"/>
              <w:rPr>
                <w:rFonts w:hint="eastAsia" w:ascii="仿宋" w:hAnsi="仿宋" w:eastAsia="仿宋" w:cs="仿宋"/>
                <w:color w:val="auto"/>
                <w:sz w:val="24"/>
                <w:szCs w:val="24"/>
                <w:highlight w:val="none"/>
              </w:rPr>
            </w:pPr>
          </w:p>
        </w:tc>
        <w:tc>
          <w:tcPr>
            <w:tcW w:w="1333" w:type="dxa"/>
            <w:noWrap w:val="0"/>
            <w:vAlign w:val="top"/>
          </w:tcPr>
          <w:p w14:paraId="5266770A">
            <w:pPr>
              <w:spacing w:line="560" w:lineRule="exact"/>
              <w:rPr>
                <w:rFonts w:hint="eastAsia" w:ascii="仿宋" w:hAnsi="仿宋" w:eastAsia="仿宋" w:cs="仿宋"/>
                <w:color w:val="auto"/>
                <w:sz w:val="24"/>
                <w:szCs w:val="24"/>
                <w:highlight w:val="none"/>
              </w:rPr>
            </w:pPr>
          </w:p>
        </w:tc>
        <w:tc>
          <w:tcPr>
            <w:tcW w:w="1162" w:type="dxa"/>
            <w:noWrap w:val="0"/>
            <w:vAlign w:val="top"/>
          </w:tcPr>
          <w:p w14:paraId="7D993CE3">
            <w:pPr>
              <w:spacing w:line="560" w:lineRule="exact"/>
              <w:rPr>
                <w:rFonts w:hint="eastAsia" w:ascii="仿宋" w:hAnsi="仿宋" w:eastAsia="仿宋" w:cs="仿宋"/>
                <w:color w:val="auto"/>
                <w:sz w:val="24"/>
                <w:szCs w:val="24"/>
                <w:highlight w:val="none"/>
              </w:rPr>
            </w:pPr>
          </w:p>
        </w:tc>
        <w:tc>
          <w:tcPr>
            <w:tcW w:w="2000" w:type="dxa"/>
            <w:noWrap w:val="0"/>
            <w:vAlign w:val="top"/>
          </w:tcPr>
          <w:p w14:paraId="297EB965">
            <w:pPr>
              <w:spacing w:line="560" w:lineRule="exact"/>
              <w:rPr>
                <w:rFonts w:hint="eastAsia" w:ascii="仿宋" w:hAnsi="仿宋" w:eastAsia="仿宋" w:cs="仿宋"/>
                <w:color w:val="auto"/>
                <w:sz w:val="24"/>
                <w:szCs w:val="24"/>
                <w:highlight w:val="none"/>
              </w:rPr>
            </w:pPr>
          </w:p>
        </w:tc>
        <w:tc>
          <w:tcPr>
            <w:tcW w:w="1061" w:type="dxa"/>
            <w:noWrap w:val="0"/>
            <w:vAlign w:val="top"/>
          </w:tcPr>
          <w:p w14:paraId="742EA7E9">
            <w:pPr>
              <w:spacing w:line="560" w:lineRule="exact"/>
              <w:rPr>
                <w:rFonts w:hint="eastAsia" w:ascii="仿宋" w:hAnsi="仿宋" w:eastAsia="仿宋" w:cs="仿宋"/>
                <w:color w:val="auto"/>
                <w:sz w:val="24"/>
                <w:szCs w:val="24"/>
                <w:highlight w:val="none"/>
              </w:rPr>
            </w:pPr>
          </w:p>
        </w:tc>
        <w:tc>
          <w:tcPr>
            <w:tcW w:w="982" w:type="dxa"/>
            <w:noWrap w:val="0"/>
            <w:vAlign w:val="top"/>
          </w:tcPr>
          <w:p w14:paraId="679BCD3E">
            <w:pPr>
              <w:spacing w:line="560" w:lineRule="exact"/>
              <w:rPr>
                <w:rFonts w:hint="eastAsia" w:ascii="仿宋" w:hAnsi="仿宋" w:eastAsia="仿宋" w:cs="仿宋"/>
                <w:color w:val="auto"/>
                <w:sz w:val="24"/>
                <w:szCs w:val="24"/>
                <w:highlight w:val="none"/>
              </w:rPr>
            </w:pPr>
          </w:p>
        </w:tc>
      </w:tr>
      <w:tr w14:paraId="0F0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42AE4953">
            <w:pPr>
              <w:spacing w:line="560" w:lineRule="exact"/>
              <w:rPr>
                <w:rFonts w:hint="eastAsia" w:ascii="仿宋" w:hAnsi="仿宋" w:eastAsia="仿宋" w:cs="仿宋"/>
                <w:color w:val="auto"/>
                <w:sz w:val="24"/>
                <w:szCs w:val="24"/>
                <w:highlight w:val="none"/>
              </w:rPr>
            </w:pPr>
          </w:p>
        </w:tc>
        <w:tc>
          <w:tcPr>
            <w:tcW w:w="667" w:type="dxa"/>
            <w:noWrap w:val="0"/>
            <w:vAlign w:val="top"/>
          </w:tcPr>
          <w:p w14:paraId="5B149744">
            <w:pPr>
              <w:spacing w:line="560" w:lineRule="exact"/>
              <w:rPr>
                <w:rFonts w:hint="eastAsia" w:ascii="仿宋" w:hAnsi="仿宋" w:eastAsia="仿宋" w:cs="仿宋"/>
                <w:color w:val="auto"/>
                <w:sz w:val="24"/>
                <w:szCs w:val="24"/>
                <w:highlight w:val="none"/>
              </w:rPr>
            </w:pPr>
          </w:p>
        </w:tc>
        <w:tc>
          <w:tcPr>
            <w:tcW w:w="817" w:type="dxa"/>
            <w:noWrap w:val="0"/>
            <w:vAlign w:val="top"/>
          </w:tcPr>
          <w:p w14:paraId="46F6B7E2">
            <w:pPr>
              <w:spacing w:line="560" w:lineRule="exact"/>
              <w:rPr>
                <w:rFonts w:hint="eastAsia" w:ascii="仿宋" w:hAnsi="仿宋" w:eastAsia="仿宋" w:cs="仿宋"/>
                <w:color w:val="auto"/>
                <w:sz w:val="24"/>
                <w:szCs w:val="24"/>
                <w:highlight w:val="none"/>
              </w:rPr>
            </w:pPr>
          </w:p>
        </w:tc>
        <w:tc>
          <w:tcPr>
            <w:tcW w:w="1333" w:type="dxa"/>
            <w:noWrap w:val="0"/>
            <w:vAlign w:val="top"/>
          </w:tcPr>
          <w:p w14:paraId="6E67AA73">
            <w:pPr>
              <w:spacing w:line="560" w:lineRule="exact"/>
              <w:rPr>
                <w:rFonts w:hint="eastAsia" w:ascii="仿宋" w:hAnsi="仿宋" w:eastAsia="仿宋" w:cs="仿宋"/>
                <w:color w:val="auto"/>
                <w:sz w:val="24"/>
                <w:szCs w:val="24"/>
                <w:highlight w:val="none"/>
              </w:rPr>
            </w:pPr>
          </w:p>
        </w:tc>
        <w:tc>
          <w:tcPr>
            <w:tcW w:w="1162" w:type="dxa"/>
            <w:noWrap w:val="0"/>
            <w:vAlign w:val="top"/>
          </w:tcPr>
          <w:p w14:paraId="0380DBC6">
            <w:pPr>
              <w:spacing w:line="560" w:lineRule="exact"/>
              <w:rPr>
                <w:rFonts w:hint="eastAsia" w:ascii="仿宋" w:hAnsi="仿宋" w:eastAsia="仿宋" w:cs="仿宋"/>
                <w:color w:val="auto"/>
                <w:sz w:val="24"/>
                <w:szCs w:val="24"/>
                <w:highlight w:val="none"/>
              </w:rPr>
            </w:pPr>
          </w:p>
        </w:tc>
        <w:tc>
          <w:tcPr>
            <w:tcW w:w="2000" w:type="dxa"/>
            <w:noWrap w:val="0"/>
            <w:vAlign w:val="top"/>
          </w:tcPr>
          <w:p w14:paraId="4C9AB0E7">
            <w:pPr>
              <w:spacing w:line="560" w:lineRule="exact"/>
              <w:rPr>
                <w:rFonts w:hint="eastAsia" w:ascii="仿宋" w:hAnsi="仿宋" w:eastAsia="仿宋" w:cs="仿宋"/>
                <w:color w:val="auto"/>
                <w:sz w:val="24"/>
                <w:szCs w:val="24"/>
                <w:highlight w:val="none"/>
              </w:rPr>
            </w:pPr>
          </w:p>
        </w:tc>
        <w:tc>
          <w:tcPr>
            <w:tcW w:w="1061" w:type="dxa"/>
            <w:noWrap w:val="0"/>
            <w:vAlign w:val="top"/>
          </w:tcPr>
          <w:p w14:paraId="1AAF752D">
            <w:pPr>
              <w:spacing w:line="560" w:lineRule="exact"/>
              <w:rPr>
                <w:rFonts w:hint="eastAsia" w:ascii="仿宋" w:hAnsi="仿宋" w:eastAsia="仿宋" w:cs="仿宋"/>
                <w:color w:val="auto"/>
                <w:sz w:val="24"/>
                <w:szCs w:val="24"/>
                <w:highlight w:val="none"/>
              </w:rPr>
            </w:pPr>
          </w:p>
        </w:tc>
        <w:tc>
          <w:tcPr>
            <w:tcW w:w="982" w:type="dxa"/>
            <w:noWrap w:val="0"/>
            <w:vAlign w:val="top"/>
          </w:tcPr>
          <w:p w14:paraId="35E3F688">
            <w:pPr>
              <w:spacing w:line="560" w:lineRule="exact"/>
              <w:rPr>
                <w:rFonts w:hint="eastAsia" w:ascii="仿宋" w:hAnsi="仿宋" w:eastAsia="仿宋" w:cs="仿宋"/>
                <w:color w:val="auto"/>
                <w:sz w:val="24"/>
                <w:szCs w:val="24"/>
                <w:highlight w:val="none"/>
              </w:rPr>
            </w:pPr>
          </w:p>
        </w:tc>
      </w:tr>
      <w:tr w14:paraId="51FC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9E9CEAB">
            <w:pPr>
              <w:spacing w:line="560" w:lineRule="exact"/>
              <w:rPr>
                <w:rFonts w:hint="eastAsia" w:ascii="仿宋" w:hAnsi="仿宋" w:eastAsia="仿宋" w:cs="仿宋"/>
                <w:color w:val="auto"/>
                <w:sz w:val="24"/>
                <w:szCs w:val="24"/>
                <w:highlight w:val="none"/>
              </w:rPr>
            </w:pPr>
          </w:p>
        </w:tc>
        <w:tc>
          <w:tcPr>
            <w:tcW w:w="667" w:type="dxa"/>
            <w:noWrap w:val="0"/>
            <w:vAlign w:val="top"/>
          </w:tcPr>
          <w:p w14:paraId="69F43872">
            <w:pPr>
              <w:spacing w:line="560" w:lineRule="exact"/>
              <w:rPr>
                <w:rFonts w:hint="eastAsia" w:ascii="仿宋" w:hAnsi="仿宋" w:eastAsia="仿宋" w:cs="仿宋"/>
                <w:color w:val="auto"/>
                <w:sz w:val="24"/>
                <w:szCs w:val="24"/>
                <w:highlight w:val="none"/>
              </w:rPr>
            </w:pPr>
          </w:p>
        </w:tc>
        <w:tc>
          <w:tcPr>
            <w:tcW w:w="817" w:type="dxa"/>
            <w:noWrap w:val="0"/>
            <w:vAlign w:val="top"/>
          </w:tcPr>
          <w:p w14:paraId="152CE9F3">
            <w:pPr>
              <w:spacing w:line="560" w:lineRule="exact"/>
              <w:rPr>
                <w:rFonts w:hint="eastAsia" w:ascii="仿宋" w:hAnsi="仿宋" w:eastAsia="仿宋" w:cs="仿宋"/>
                <w:color w:val="auto"/>
                <w:sz w:val="24"/>
                <w:szCs w:val="24"/>
                <w:highlight w:val="none"/>
              </w:rPr>
            </w:pPr>
          </w:p>
        </w:tc>
        <w:tc>
          <w:tcPr>
            <w:tcW w:w="1333" w:type="dxa"/>
            <w:noWrap w:val="0"/>
            <w:vAlign w:val="top"/>
          </w:tcPr>
          <w:p w14:paraId="22B631E4">
            <w:pPr>
              <w:spacing w:line="560" w:lineRule="exact"/>
              <w:rPr>
                <w:rFonts w:hint="eastAsia" w:ascii="仿宋" w:hAnsi="仿宋" w:eastAsia="仿宋" w:cs="仿宋"/>
                <w:color w:val="auto"/>
                <w:sz w:val="24"/>
                <w:szCs w:val="24"/>
                <w:highlight w:val="none"/>
              </w:rPr>
            </w:pPr>
          </w:p>
        </w:tc>
        <w:tc>
          <w:tcPr>
            <w:tcW w:w="1162" w:type="dxa"/>
            <w:noWrap w:val="0"/>
            <w:vAlign w:val="top"/>
          </w:tcPr>
          <w:p w14:paraId="3A3A3A6E">
            <w:pPr>
              <w:spacing w:line="560" w:lineRule="exact"/>
              <w:rPr>
                <w:rFonts w:hint="eastAsia" w:ascii="仿宋" w:hAnsi="仿宋" w:eastAsia="仿宋" w:cs="仿宋"/>
                <w:color w:val="auto"/>
                <w:sz w:val="24"/>
                <w:szCs w:val="24"/>
                <w:highlight w:val="none"/>
              </w:rPr>
            </w:pPr>
          </w:p>
        </w:tc>
        <w:tc>
          <w:tcPr>
            <w:tcW w:w="2000" w:type="dxa"/>
            <w:noWrap w:val="0"/>
            <w:vAlign w:val="top"/>
          </w:tcPr>
          <w:p w14:paraId="1E4A397E">
            <w:pPr>
              <w:spacing w:line="560" w:lineRule="exact"/>
              <w:rPr>
                <w:rFonts w:hint="eastAsia" w:ascii="仿宋" w:hAnsi="仿宋" w:eastAsia="仿宋" w:cs="仿宋"/>
                <w:color w:val="auto"/>
                <w:sz w:val="24"/>
                <w:szCs w:val="24"/>
                <w:highlight w:val="none"/>
              </w:rPr>
            </w:pPr>
          </w:p>
        </w:tc>
        <w:tc>
          <w:tcPr>
            <w:tcW w:w="1061" w:type="dxa"/>
            <w:noWrap w:val="0"/>
            <w:vAlign w:val="top"/>
          </w:tcPr>
          <w:p w14:paraId="0E4F34C1">
            <w:pPr>
              <w:spacing w:line="560" w:lineRule="exact"/>
              <w:rPr>
                <w:rFonts w:hint="eastAsia" w:ascii="仿宋" w:hAnsi="仿宋" w:eastAsia="仿宋" w:cs="仿宋"/>
                <w:color w:val="auto"/>
                <w:sz w:val="24"/>
                <w:szCs w:val="24"/>
                <w:highlight w:val="none"/>
              </w:rPr>
            </w:pPr>
          </w:p>
        </w:tc>
        <w:tc>
          <w:tcPr>
            <w:tcW w:w="982" w:type="dxa"/>
            <w:noWrap w:val="0"/>
            <w:vAlign w:val="top"/>
          </w:tcPr>
          <w:p w14:paraId="71447AFA">
            <w:pPr>
              <w:spacing w:line="560" w:lineRule="exact"/>
              <w:rPr>
                <w:rFonts w:hint="eastAsia" w:ascii="仿宋" w:hAnsi="仿宋" w:eastAsia="仿宋" w:cs="仿宋"/>
                <w:color w:val="auto"/>
                <w:sz w:val="24"/>
                <w:szCs w:val="24"/>
                <w:highlight w:val="none"/>
              </w:rPr>
            </w:pPr>
          </w:p>
        </w:tc>
      </w:tr>
      <w:tr w14:paraId="3886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740CCCC7">
            <w:pPr>
              <w:spacing w:line="560" w:lineRule="exact"/>
              <w:rPr>
                <w:rFonts w:hint="eastAsia" w:ascii="仿宋" w:hAnsi="仿宋" w:eastAsia="仿宋" w:cs="仿宋"/>
                <w:color w:val="auto"/>
                <w:sz w:val="24"/>
                <w:szCs w:val="24"/>
                <w:highlight w:val="none"/>
              </w:rPr>
            </w:pPr>
          </w:p>
        </w:tc>
        <w:tc>
          <w:tcPr>
            <w:tcW w:w="667" w:type="dxa"/>
            <w:noWrap w:val="0"/>
            <w:vAlign w:val="top"/>
          </w:tcPr>
          <w:p w14:paraId="44442451">
            <w:pPr>
              <w:spacing w:line="560" w:lineRule="exact"/>
              <w:rPr>
                <w:rFonts w:hint="eastAsia" w:ascii="仿宋" w:hAnsi="仿宋" w:eastAsia="仿宋" w:cs="仿宋"/>
                <w:color w:val="auto"/>
                <w:sz w:val="24"/>
                <w:szCs w:val="24"/>
                <w:highlight w:val="none"/>
              </w:rPr>
            </w:pPr>
          </w:p>
        </w:tc>
        <w:tc>
          <w:tcPr>
            <w:tcW w:w="817" w:type="dxa"/>
            <w:noWrap w:val="0"/>
            <w:vAlign w:val="top"/>
          </w:tcPr>
          <w:p w14:paraId="61732914">
            <w:pPr>
              <w:spacing w:line="560" w:lineRule="exact"/>
              <w:rPr>
                <w:rFonts w:hint="eastAsia" w:ascii="仿宋" w:hAnsi="仿宋" w:eastAsia="仿宋" w:cs="仿宋"/>
                <w:color w:val="auto"/>
                <w:sz w:val="24"/>
                <w:szCs w:val="24"/>
                <w:highlight w:val="none"/>
              </w:rPr>
            </w:pPr>
          </w:p>
        </w:tc>
        <w:tc>
          <w:tcPr>
            <w:tcW w:w="1333" w:type="dxa"/>
            <w:noWrap w:val="0"/>
            <w:vAlign w:val="top"/>
          </w:tcPr>
          <w:p w14:paraId="2F9B09CA">
            <w:pPr>
              <w:spacing w:line="560" w:lineRule="exact"/>
              <w:rPr>
                <w:rFonts w:hint="eastAsia" w:ascii="仿宋" w:hAnsi="仿宋" w:eastAsia="仿宋" w:cs="仿宋"/>
                <w:color w:val="auto"/>
                <w:sz w:val="24"/>
                <w:szCs w:val="24"/>
                <w:highlight w:val="none"/>
              </w:rPr>
            </w:pPr>
          </w:p>
        </w:tc>
        <w:tc>
          <w:tcPr>
            <w:tcW w:w="1162" w:type="dxa"/>
            <w:noWrap w:val="0"/>
            <w:vAlign w:val="top"/>
          </w:tcPr>
          <w:p w14:paraId="04507196">
            <w:pPr>
              <w:spacing w:line="560" w:lineRule="exact"/>
              <w:rPr>
                <w:rFonts w:hint="eastAsia" w:ascii="仿宋" w:hAnsi="仿宋" w:eastAsia="仿宋" w:cs="仿宋"/>
                <w:color w:val="auto"/>
                <w:sz w:val="24"/>
                <w:szCs w:val="24"/>
                <w:highlight w:val="none"/>
              </w:rPr>
            </w:pPr>
          </w:p>
        </w:tc>
        <w:tc>
          <w:tcPr>
            <w:tcW w:w="2000" w:type="dxa"/>
            <w:noWrap w:val="0"/>
            <w:vAlign w:val="top"/>
          </w:tcPr>
          <w:p w14:paraId="2661B115">
            <w:pPr>
              <w:spacing w:line="560" w:lineRule="exact"/>
              <w:rPr>
                <w:rFonts w:hint="eastAsia" w:ascii="仿宋" w:hAnsi="仿宋" w:eastAsia="仿宋" w:cs="仿宋"/>
                <w:color w:val="auto"/>
                <w:sz w:val="24"/>
                <w:szCs w:val="24"/>
                <w:highlight w:val="none"/>
              </w:rPr>
            </w:pPr>
          </w:p>
        </w:tc>
        <w:tc>
          <w:tcPr>
            <w:tcW w:w="1061" w:type="dxa"/>
            <w:noWrap w:val="0"/>
            <w:vAlign w:val="top"/>
          </w:tcPr>
          <w:p w14:paraId="40E21BA8">
            <w:pPr>
              <w:spacing w:line="560" w:lineRule="exact"/>
              <w:rPr>
                <w:rFonts w:hint="eastAsia" w:ascii="仿宋" w:hAnsi="仿宋" w:eastAsia="仿宋" w:cs="仿宋"/>
                <w:color w:val="auto"/>
                <w:sz w:val="24"/>
                <w:szCs w:val="24"/>
                <w:highlight w:val="none"/>
              </w:rPr>
            </w:pPr>
          </w:p>
        </w:tc>
        <w:tc>
          <w:tcPr>
            <w:tcW w:w="982" w:type="dxa"/>
            <w:noWrap w:val="0"/>
            <w:vAlign w:val="top"/>
          </w:tcPr>
          <w:p w14:paraId="7DBC8685">
            <w:pPr>
              <w:spacing w:line="560" w:lineRule="exact"/>
              <w:rPr>
                <w:rFonts w:hint="eastAsia" w:ascii="仿宋" w:hAnsi="仿宋" w:eastAsia="仿宋" w:cs="仿宋"/>
                <w:color w:val="auto"/>
                <w:sz w:val="24"/>
                <w:szCs w:val="24"/>
                <w:highlight w:val="none"/>
              </w:rPr>
            </w:pPr>
          </w:p>
        </w:tc>
      </w:tr>
      <w:tr w14:paraId="463A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55744AB8">
            <w:pPr>
              <w:spacing w:line="560" w:lineRule="exact"/>
              <w:rPr>
                <w:rFonts w:hint="eastAsia" w:ascii="仿宋" w:hAnsi="仿宋" w:eastAsia="仿宋" w:cs="仿宋"/>
                <w:color w:val="auto"/>
                <w:sz w:val="24"/>
                <w:szCs w:val="24"/>
                <w:highlight w:val="none"/>
              </w:rPr>
            </w:pPr>
          </w:p>
        </w:tc>
        <w:tc>
          <w:tcPr>
            <w:tcW w:w="667" w:type="dxa"/>
            <w:noWrap w:val="0"/>
            <w:vAlign w:val="top"/>
          </w:tcPr>
          <w:p w14:paraId="400D02E8">
            <w:pPr>
              <w:spacing w:line="560" w:lineRule="exact"/>
              <w:rPr>
                <w:rFonts w:hint="eastAsia" w:ascii="仿宋" w:hAnsi="仿宋" w:eastAsia="仿宋" w:cs="仿宋"/>
                <w:color w:val="auto"/>
                <w:sz w:val="24"/>
                <w:szCs w:val="24"/>
                <w:highlight w:val="none"/>
              </w:rPr>
            </w:pPr>
          </w:p>
        </w:tc>
        <w:tc>
          <w:tcPr>
            <w:tcW w:w="817" w:type="dxa"/>
            <w:noWrap w:val="0"/>
            <w:vAlign w:val="top"/>
          </w:tcPr>
          <w:p w14:paraId="08512EBF">
            <w:pPr>
              <w:spacing w:line="560" w:lineRule="exact"/>
              <w:rPr>
                <w:rFonts w:hint="eastAsia" w:ascii="仿宋" w:hAnsi="仿宋" w:eastAsia="仿宋" w:cs="仿宋"/>
                <w:color w:val="auto"/>
                <w:sz w:val="24"/>
                <w:szCs w:val="24"/>
                <w:highlight w:val="none"/>
              </w:rPr>
            </w:pPr>
          </w:p>
        </w:tc>
        <w:tc>
          <w:tcPr>
            <w:tcW w:w="1333" w:type="dxa"/>
            <w:noWrap w:val="0"/>
            <w:vAlign w:val="top"/>
          </w:tcPr>
          <w:p w14:paraId="1F9C8453">
            <w:pPr>
              <w:spacing w:line="560" w:lineRule="exact"/>
              <w:rPr>
                <w:rFonts w:hint="eastAsia" w:ascii="仿宋" w:hAnsi="仿宋" w:eastAsia="仿宋" w:cs="仿宋"/>
                <w:color w:val="auto"/>
                <w:sz w:val="24"/>
                <w:szCs w:val="24"/>
                <w:highlight w:val="none"/>
              </w:rPr>
            </w:pPr>
          </w:p>
        </w:tc>
        <w:tc>
          <w:tcPr>
            <w:tcW w:w="1162" w:type="dxa"/>
            <w:noWrap w:val="0"/>
            <w:vAlign w:val="top"/>
          </w:tcPr>
          <w:p w14:paraId="1FB9EF25">
            <w:pPr>
              <w:spacing w:line="560" w:lineRule="exact"/>
              <w:rPr>
                <w:rFonts w:hint="eastAsia" w:ascii="仿宋" w:hAnsi="仿宋" w:eastAsia="仿宋" w:cs="仿宋"/>
                <w:color w:val="auto"/>
                <w:sz w:val="24"/>
                <w:szCs w:val="24"/>
                <w:highlight w:val="none"/>
              </w:rPr>
            </w:pPr>
          </w:p>
        </w:tc>
        <w:tc>
          <w:tcPr>
            <w:tcW w:w="2000" w:type="dxa"/>
            <w:noWrap w:val="0"/>
            <w:vAlign w:val="top"/>
          </w:tcPr>
          <w:p w14:paraId="4D5A7C96">
            <w:pPr>
              <w:spacing w:line="560" w:lineRule="exact"/>
              <w:rPr>
                <w:rFonts w:hint="eastAsia" w:ascii="仿宋" w:hAnsi="仿宋" w:eastAsia="仿宋" w:cs="仿宋"/>
                <w:color w:val="auto"/>
                <w:sz w:val="24"/>
                <w:szCs w:val="24"/>
                <w:highlight w:val="none"/>
              </w:rPr>
            </w:pPr>
          </w:p>
        </w:tc>
        <w:tc>
          <w:tcPr>
            <w:tcW w:w="1061" w:type="dxa"/>
            <w:noWrap w:val="0"/>
            <w:vAlign w:val="top"/>
          </w:tcPr>
          <w:p w14:paraId="081CDC95">
            <w:pPr>
              <w:spacing w:line="560" w:lineRule="exact"/>
              <w:rPr>
                <w:rFonts w:hint="eastAsia" w:ascii="仿宋" w:hAnsi="仿宋" w:eastAsia="仿宋" w:cs="仿宋"/>
                <w:color w:val="auto"/>
                <w:sz w:val="24"/>
                <w:szCs w:val="24"/>
                <w:highlight w:val="none"/>
              </w:rPr>
            </w:pPr>
          </w:p>
        </w:tc>
        <w:tc>
          <w:tcPr>
            <w:tcW w:w="982" w:type="dxa"/>
            <w:noWrap w:val="0"/>
            <w:vAlign w:val="top"/>
          </w:tcPr>
          <w:p w14:paraId="0D1956B4">
            <w:pPr>
              <w:spacing w:line="560" w:lineRule="exact"/>
              <w:rPr>
                <w:rFonts w:hint="eastAsia" w:ascii="仿宋" w:hAnsi="仿宋" w:eastAsia="仿宋" w:cs="仿宋"/>
                <w:color w:val="auto"/>
                <w:sz w:val="24"/>
                <w:szCs w:val="24"/>
                <w:highlight w:val="none"/>
              </w:rPr>
            </w:pPr>
          </w:p>
        </w:tc>
      </w:tr>
      <w:tr w14:paraId="4945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0AD1B79F">
            <w:pPr>
              <w:spacing w:line="560" w:lineRule="exact"/>
              <w:rPr>
                <w:rFonts w:hint="eastAsia" w:ascii="仿宋" w:hAnsi="仿宋" w:eastAsia="仿宋" w:cs="仿宋"/>
                <w:color w:val="auto"/>
                <w:sz w:val="24"/>
                <w:szCs w:val="24"/>
                <w:highlight w:val="none"/>
              </w:rPr>
            </w:pPr>
          </w:p>
        </w:tc>
        <w:tc>
          <w:tcPr>
            <w:tcW w:w="667" w:type="dxa"/>
            <w:noWrap w:val="0"/>
            <w:vAlign w:val="top"/>
          </w:tcPr>
          <w:p w14:paraId="1B1954D4">
            <w:pPr>
              <w:spacing w:line="560" w:lineRule="exact"/>
              <w:rPr>
                <w:rFonts w:hint="eastAsia" w:ascii="仿宋" w:hAnsi="仿宋" w:eastAsia="仿宋" w:cs="仿宋"/>
                <w:color w:val="auto"/>
                <w:sz w:val="24"/>
                <w:szCs w:val="24"/>
                <w:highlight w:val="none"/>
              </w:rPr>
            </w:pPr>
          </w:p>
        </w:tc>
        <w:tc>
          <w:tcPr>
            <w:tcW w:w="817" w:type="dxa"/>
            <w:noWrap w:val="0"/>
            <w:vAlign w:val="top"/>
          </w:tcPr>
          <w:p w14:paraId="4B1F95F6">
            <w:pPr>
              <w:spacing w:line="560" w:lineRule="exact"/>
              <w:rPr>
                <w:rFonts w:hint="eastAsia" w:ascii="仿宋" w:hAnsi="仿宋" w:eastAsia="仿宋" w:cs="仿宋"/>
                <w:color w:val="auto"/>
                <w:sz w:val="24"/>
                <w:szCs w:val="24"/>
                <w:highlight w:val="none"/>
              </w:rPr>
            </w:pPr>
          </w:p>
        </w:tc>
        <w:tc>
          <w:tcPr>
            <w:tcW w:w="1333" w:type="dxa"/>
            <w:noWrap w:val="0"/>
            <w:vAlign w:val="top"/>
          </w:tcPr>
          <w:p w14:paraId="6C593035">
            <w:pPr>
              <w:spacing w:line="560" w:lineRule="exact"/>
              <w:rPr>
                <w:rFonts w:hint="eastAsia" w:ascii="仿宋" w:hAnsi="仿宋" w:eastAsia="仿宋" w:cs="仿宋"/>
                <w:color w:val="auto"/>
                <w:sz w:val="24"/>
                <w:szCs w:val="24"/>
                <w:highlight w:val="none"/>
              </w:rPr>
            </w:pPr>
          </w:p>
        </w:tc>
        <w:tc>
          <w:tcPr>
            <w:tcW w:w="1162" w:type="dxa"/>
            <w:noWrap w:val="0"/>
            <w:vAlign w:val="top"/>
          </w:tcPr>
          <w:p w14:paraId="2F9CA688">
            <w:pPr>
              <w:spacing w:line="560" w:lineRule="exact"/>
              <w:rPr>
                <w:rFonts w:hint="eastAsia" w:ascii="仿宋" w:hAnsi="仿宋" w:eastAsia="仿宋" w:cs="仿宋"/>
                <w:color w:val="auto"/>
                <w:sz w:val="24"/>
                <w:szCs w:val="24"/>
                <w:highlight w:val="none"/>
              </w:rPr>
            </w:pPr>
          </w:p>
        </w:tc>
        <w:tc>
          <w:tcPr>
            <w:tcW w:w="2000" w:type="dxa"/>
            <w:noWrap w:val="0"/>
            <w:vAlign w:val="top"/>
          </w:tcPr>
          <w:p w14:paraId="54B75C8D">
            <w:pPr>
              <w:spacing w:line="560" w:lineRule="exact"/>
              <w:rPr>
                <w:rFonts w:hint="eastAsia" w:ascii="仿宋" w:hAnsi="仿宋" w:eastAsia="仿宋" w:cs="仿宋"/>
                <w:color w:val="auto"/>
                <w:sz w:val="24"/>
                <w:szCs w:val="24"/>
                <w:highlight w:val="none"/>
              </w:rPr>
            </w:pPr>
          </w:p>
        </w:tc>
        <w:tc>
          <w:tcPr>
            <w:tcW w:w="1061" w:type="dxa"/>
            <w:noWrap w:val="0"/>
            <w:vAlign w:val="top"/>
          </w:tcPr>
          <w:p w14:paraId="7CBBB370">
            <w:pPr>
              <w:spacing w:line="560" w:lineRule="exact"/>
              <w:rPr>
                <w:rFonts w:hint="eastAsia" w:ascii="仿宋" w:hAnsi="仿宋" w:eastAsia="仿宋" w:cs="仿宋"/>
                <w:color w:val="auto"/>
                <w:sz w:val="24"/>
                <w:szCs w:val="24"/>
                <w:highlight w:val="none"/>
              </w:rPr>
            </w:pPr>
          </w:p>
        </w:tc>
        <w:tc>
          <w:tcPr>
            <w:tcW w:w="982" w:type="dxa"/>
            <w:noWrap w:val="0"/>
            <w:vAlign w:val="top"/>
          </w:tcPr>
          <w:p w14:paraId="073E7493">
            <w:pPr>
              <w:spacing w:line="560" w:lineRule="exact"/>
              <w:rPr>
                <w:rFonts w:hint="eastAsia" w:ascii="仿宋" w:hAnsi="仿宋" w:eastAsia="仿宋" w:cs="仿宋"/>
                <w:color w:val="auto"/>
                <w:sz w:val="24"/>
                <w:szCs w:val="24"/>
                <w:highlight w:val="none"/>
              </w:rPr>
            </w:pPr>
          </w:p>
        </w:tc>
      </w:tr>
      <w:tr w14:paraId="622A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182B1641">
            <w:pPr>
              <w:spacing w:line="560" w:lineRule="exact"/>
              <w:rPr>
                <w:rFonts w:hint="eastAsia" w:ascii="仿宋" w:hAnsi="仿宋" w:eastAsia="仿宋" w:cs="仿宋"/>
                <w:color w:val="auto"/>
                <w:sz w:val="24"/>
                <w:szCs w:val="24"/>
                <w:highlight w:val="none"/>
              </w:rPr>
            </w:pPr>
          </w:p>
        </w:tc>
        <w:tc>
          <w:tcPr>
            <w:tcW w:w="667" w:type="dxa"/>
            <w:noWrap w:val="0"/>
            <w:vAlign w:val="top"/>
          </w:tcPr>
          <w:p w14:paraId="3CC2C5B9">
            <w:pPr>
              <w:spacing w:line="560" w:lineRule="exact"/>
              <w:rPr>
                <w:rFonts w:hint="eastAsia" w:ascii="仿宋" w:hAnsi="仿宋" w:eastAsia="仿宋" w:cs="仿宋"/>
                <w:color w:val="auto"/>
                <w:sz w:val="24"/>
                <w:szCs w:val="24"/>
                <w:highlight w:val="none"/>
              </w:rPr>
            </w:pPr>
          </w:p>
        </w:tc>
        <w:tc>
          <w:tcPr>
            <w:tcW w:w="817" w:type="dxa"/>
            <w:noWrap w:val="0"/>
            <w:vAlign w:val="top"/>
          </w:tcPr>
          <w:p w14:paraId="4FE1FE38">
            <w:pPr>
              <w:spacing w:line="560" w:lineRule="exact"/>
              <w:rPr>
                <w:rFonts w:hint="eastAsia" w:ascii="仿宋" w:hAnsi="仿宋" w:eastAsia="仿宋" w:cs="仿宋"/>
                <w:color w:val="auto"/>
                <w:sz w:val="24"/>
                <w:szCs w:val="24"/>
                <w:highlight w:val="none"/>
              </w:rPr>
            </w:pPr>
          </w:p>
        </w:tc>
        <w:tc>
          <w:tcPr>
            <w:tcW w:w="1333" w:type="dxa"/>
            <w:noWrap w:val="0"/>
            <w:vAlign w:val="top"/>
          </w:tcPr>
          <w:p w14:paraId="3C98B369">
            <w:pPr>
              <w:spacing w:line="560" w:lineRule="exact"/>
              <w:rPr>
                <w:rFonts w:hint="eastAsia" w:ascii="仿宋" w:hAnsi="仿宋" w:eastAsia="仿宋" w:cs="仿宋"/>
                <w:color w:val="auto"/>
                <w:sz w:val="24"/>
                <w:szCs w:val="24"/>
                <w:highlight w:val="none"/>
              </w:rPr>
            </w:pPr>
          </w:p>
        </w:tc>
        <w:tc>
          <w:tcPr>
            <w:tcW w:w="1162" w:type="dxa"/>
            <w:noWrap w:val="0"/>
            <w:vAlign w:val="top"/>
          </w:tcPr>
          <w:p w14:paraId="50BB5DF7">
            <w:pPr>
              <w:spacing w:line="560" w:lineRule="exact"/>
              <w:rPr>
                <w:rFonts w:hint="eastAsia" w:ascii="仿宋" w:hAnsi="仿宋" w:eastAsia="仿宋" w:cs="仿宋"/>
                <w:color w:val="auto"/>
                <w:sz w:val="24"/>
                <w:szCs w:val="24"/>
                <w:highlight w:val="none"/>
              </w:rPr>
            </w:pPr>
          </w:p>
        </w:tc>
        <w:tc>
          <w:tcPr>
            <w:tcW w:w="2000" w:type="dxa"/>
            <w:noWrap w:val="0"/>
            <w:vAlign w:val="top"/>
          </w:tcPr>
          <w:p w14:paraId="2DDAD16D">
            <w:pPr>
              <w:spacing w:line="560" w:lineRule="exact"/>
              <w:rPr>
                <w:rFonts w:hint="eastAsia" w:ascii="仿宋" w:hAnsi="仿宋" w:eastAsia="仿宋" w:cs="仿宋"/>
                <w:color w:val="auto"/>
                <w:sz w:val="24"/>
                <w:szCs w:val="24"/>
                <w:highlight w:val="none"/>
              </w:rPr>
            </w:pPr>
          </w:p>
        </w:tc>
        <w:tc>
          <w:tcPr>
            <w:tcW w:w="1061" w:type="dxa"/>
            <w:noWrap w:val="0"/>
            <w:vAlign w:val="top"/>
          </w:tcPr>
          <w:p w14:paraId="61348330">
            <w:pPr>
              <w:spacing w:line="560" w:lineRule="exact"/>
              <w:rPr>
                <w:rFonts w:hint="eastAsia" w:ascii="仿宋" w:hAnsi="仿宋" w:eastAsia="仿宋" w:cs="仿宋"/>
                <w:color w:val="auto"/>
                <w:sz w:val="24"/>
                <w:szCs w:val="24"/>
                <w:highlight w:val="none"/>
              </w:rPr>
            </w:pPr>
          </w:p>
        </w:tc>
        <w:tc>
          <w:tcPr>
            <w:tcW w:w="982" w:type="dxa"/>
            <w:noWrap w:val="0"/>
            <w:vAlign w:val="top"/>
          </w:tcPr>
          <w:p w14:paraId="11FD36D2">
            <w:pPr>
              <w:spacing w:line="560" w:lineRule="exact"/>
              <w:rPr>
                <w:rFonts w:hint="eastAsia" w:ascii="仿宋" w:hAnsi="仿宋" w:eastAsia="仿宋" w:cs="仿宋"/>
                <w:color w:val="auto"/>
                <w:sz w:val="24"/>
                <w:szCs w:val="24"/>
                <w:highlight w:val="none"/>
              </w:rPr>
            </w:pPr>
          </w:p>
        </w:tc>
      </w:tr>
      <w:tr w14:paraId="5FB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0B098836">
            <w:pPr>
              <w:spacing w:line="560" w:lineRule="exact"/>
              <w:rPr>
                <w:rFonts w:hint="eastAsia" w:ascii="仿宋" w:hAnsi="仿宋" w:eastAsia="仿宋" w:cs="仿宋"/>
                <w:color w:val="auto"/>
                <w:sz w:val="24"/>
                <w:szCs w:val="24"/>
                <w:highlight w:val="none"/>
              </w:rPr>
            </w:pPr>
          </w:p>
        </w:tc>
        <w:tc>
          <w:tcPr>
            <w:tcW w:w="667" w:type="dxa"/>
            <w:noWrap w:val="0"/>
            <w:vAlign w:val="top"/>
          </w:tcPr>
          <w:p w14:paraId="003C55C6">
            <w:pPr>
              <w:spacing w:line="560" w:lineRule="exact"/>
              <w:rPr>
                <w:rFonts w:hint="eastAsia" w:ascii="仿宋" w:hAnsi="仿宋" w:eastAsia="仿宋" w:cs="仿宋"/>
                <w:color w:val="auto"/>
                <w:sz w:val="24"/>
                <w:szCs w:val="24"/>
                <w:highlight w:val="none"/>
              </w:rPr>
            </w:pPr>
          </w:p>
        </w:tc>
        <w:tc>
          <w:tcPr>
            <w:tcW w:w="817" w:type="dxa"/>
            <w:noWrap w:val="0"/>
            <w:vAlign w:val="top"/>
          </w:tcPr>
          <w:p w14:paraId="1CB5FADB">
            <w:pPr>
              <w:spacing w:line="560" w:lineRule="exact"/>
              <w:rPr>
                <w:rFonts w:hint="eastAsia" w:ascii="仿宋" w:hAnsi="仿宋" w:eastAsia="仿宋" w:cs="仿宋"/>
                <w:color w:val="auto"/>
                <w:sz w:val="24"/>
                <w:szCs w:val="24"/>
                <w:highlight w:val="none"/>
              </w:rPr>
            </w:pPr>
          </w:p>
        </w:tc>
        <w:tc>
          <w:tcPr>
            <w:tcW w:w="1333" w:type="dxa"/>
            <w:noWrap w:val="0"/>
            <w:vAlign w:val="top"/>
          </w:tcPr>
          <w:p w14:paraId="2213C9A3">
            <w:pPr>
              <w:spacing w:line="560" w:lineRule="exact"/>
              <w:rPr>
                <w:rFonts w:hint="eastAsia" w:ascii="仿宋" w:hAnsi="仿宋" w:eastAsia="仿宋" w:cs="仿宋"/>
                <w:color w:val="auto"/>
                <w:sz w:val="24"/>
                <w:szCs w:val="24"/>
                <w:highlight w:val="none"/>
              </w:rPr>
            </w:pPr>
          </w:p>
        </w:tc>
        <w:tc>
          <w:tcPr>
            <w:tcW w:w="1162" w:type="dxa"/>
            <w:noWrap w:val="0"/>
            <w:vAlign w:val="top"/>
          </w:tcPr>
          <w:p w14:paraId="54DBFEF1">
            <w:pPr>
              <w:spacing w:line="560" w:lineRule="exact"/>
              <w:rPr>
                <w:rFonts w:hint="eastAsia" w:ascii="仿宋" w:hAnsi="仿宋" w:eastAsia="仿宋" w:cs="仿宋"/>
                <w:color w:val="auto"/>
                <w:sz w:val="24"/>
                <w:szCs w:val="24"/>
                <w:highlight w:val="none"/>
              </w:rPr>
            </w:pPr>
          </w:p>
        </w:tc>
        <w:tc>
          <w:tcPr>
            <w:tcW w:w="2000" w:type="dxa"/>
            <w:noWrap w:val="0"/>
            <w:vAlign w:val="top"/>
          </w:tcPr>
          <w:p w14:paraId="2EDA5A05">
            <w:pPr>
              <w:spacing w:line="560" w:lineRule="exact"/>
              <w:rPr>
                <w:rFonts w:hint="eastAsia" w:ascii="仿宋" w:hAnsi="仿宋" w:eastAsia="仿宋" w:cs="仿宋"/>
                <w:color w:val="auto"/>
                <w:sz w:val="24"/>
                <w:szCs w:val="24"/>
                <w:highlight w:val="none"/>
              </w:rPr>
            </w:pPr>
          </w:p>
        </w:tc>
        <w:tc>
          <w:tcPr>
            <w:tcW w:w="1061" w:type="dxa"/>
            <w:noWrap w:val="0"/>
            <w:vAlign w:val="top"/>
          </w:tcPr>
          <w:p w14:paraId="2B34D158">
            <w:pPr>
              <w:spacing w:line="560" w:lineRule="exact"/>
              <w:rPr>
                <w:rFonts w:hint="eastAsia" w:ascii="仿宋" w:hAnsi="仿宋" w:eastAsia="仿宋" w:cs="仿宋"/>
                <w:color w:val="auto"/>
                <w:sz w:val="24"/>
                <w:szCs w:val="24"/>
                <w:highlight w:val="none"/>
              </w:rPr>
            </w:pPr>
          </w:p>
        </w:tc>
        <w:tc>
          <w:tcPr>
            <w:tcW w:w="982" w:type="dxa"/>
            <w:noWrap w:val="0"/>
            <w:vAlign w:val="top"/>
          </w:tcPr>
          <w:p w14:paraId="4A28429E">
            <w:pPr>
              <w:spacing w:line="560" w:lineRule="exact"/>
              <w:rPr>
                <w:rFonts w:hint="eastAsia" w:ascii="仿宋" w:hAnsi="仿宋" w:eastAsia="仿宋" w:cs="仿宋"/>
                <w:color w:val="auto"/>
                <w:sz w:val="24"/>
                <w:szCs w:val="24"/>
                <w:highlight w:val="none"/>
              </w:rPr>
            </w:pPr>
          </w:p>
        </w:tc>
      </w:tr>
      <w:tr w14:paraId="6AC6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707A614D">
            <w:pPr>
              <w:spacing w:line="560" w:lineRule="exact"/>
              <w:rPr>
                <w:rFonts w:hint="eastAsia" w:ascii="仿宋" w:hAnsi="仿宋" w:eastAsia="仿宋" w:cs="仿宋"/>
                <w:color w:val="auto"/>
                <w:sz w:val="24"/>
                <w:szCs w:val="24"/>
                <w:highlight w:val="none"/>
              </w:rPr>
            </w:pPr>
          </w:p>
        </w:tc>
        <w:tc>
          <w:tcPr>
            <w:tcW w:w="667" w:type="dxa"/>
            <w:noWrap w:val="0"/>
            <w:vAlign w:val="top"/>
          </w:tcPr>
          <w:p w14:paraId="1CD4C8EC">
            <w:pPr>
              <w:spacing w:line="560" w:lineRule="exact"/>
              <w:rPr>
                <w:rFonts w:hint="eastAsia" w:ascii="仿宋" w:hAnsi="仿宋" w:eastAsia="仿宋" w:cs="仿宋"/>
                <w:color w:val="auto"/>
                <w:sz w:val="24"/>
                <w:szCs w:val="24"/>
                <w:highlight w:val="none"/>
              </w:rPr>
            </w:pPr>
          </w:p>
        </w:tc>
        <w:tc>
          <w:tcPr>
            <w:tcW w:w="817" w:type="dxa"/>
            <w:noWrap w:val="0"/>
            <w:vAlign w:val="top"/>
          </w:tcPr>
          <w:p w14:paraId="3B7D7378">
            <w:pPr>
              <w:spacing w:line="560" w:lineRule="exact"/>
              <w:rPr>
                <w:rFonts w:hint="eastAsia" w:ascii="仿宋" w:hAnsi="仿宋" w:eastAsia="仿宋" w:cs="仿宋"/>
                <w:color w:val="auto"/>
                <w:sz w:val="24"/>
                <w:szCs w:val="24"/>
                <w:highlight w:val="none"/>
              </w:rPr>
            </w:pPr>
          </w:p>
        </w:tc>
        <w:tc>
          <w:tcPr>
            <w:tcW w:w="1333" w:type="dxa"/>
            <w:noWrap w:val="0"/>
            <w:vAlign w:val="top"/>
          </w:tcPr>
          <w:p w14:paraId="5AE9858B">
            <w:pPr>
              <w:spacing w:line="560" w:lineRule="exact"/>
              <w:rPr>
                <w:rFonts w:hint="eastAsia" w:ascii="仿宋" w:hAnsi="仿宋" w:eastAsia="仿宋" w:cs="仿宋"/>
                <w:color w:val="auto"/>
                <w:sz w:val="24"/>
                <w:szCs w:val="24"/>
                <w:highlight w:val="none"/>
              </w:rPr>
            </w:pPr>
          </w:p>
        </w:tc>
        <w:tc>
          <w:tcPr>
            <w:tcW w:w="1162" w:type="dxa"/>
            <w:noWrap w:val="0"/>
            <w:vAlign w:val="top"/>
          </w:tcPr>
          <w:p w14:paraId="09751456">
            <w:pPr>
              <w:spacing w:line="560" w:lineRule="exact"/>
              <w:rPr>
                <w:rFonts w:hint="eastAsia" w:ascii="仿宋" w:hAnsi="仿宋" w:eastAsia="仿宋" w:cs="仿宋"/>
                <w:color w:val="auto"/>
                <w:sz w:val="24"/>
                <w:szCs w:val="24"/>
                <w:highlight w:val="none"/>
              </w:rPr>
            </w:pPr>
          </w:p>
        </w:tc>
        <w:tc>
          <w:tcPr>
            <w:tcW w:w="2000" w:type="dxa"/>
            <w:noWrap w:val="0"/>
            <w:vAlign w:val="top"/>
          </w:tcPr>
          <w:p w14:paraId="27CF6275">
            <w:pPr>
              <w:spacing w:line="560" w:lineRule="exact"/>
              <w:rPr>
                <w:rFonts w:hint="eastAsia" w:ascii="仿宋" w:hAnsi="仿宋" w:eastAsia="仿宋" w:cs="仿宋"/>
                <w:color w:val="auto"/>
                <w:sz w:val="24"/>
                <w:szCs w:val="24"/>
                <w:highlight w:val="none"/>
              </w:rPr>
            </w:pPr>
          </w:p>
        </w:tc>
        <w:tc>
          <w:tcPr>
            <w:tcW w:w="1061" w:type="dxa"/>
            <w:noWrap w:val="0"/>
            <w:vAlign w:val="top"/>
          </w:tcPr>
          <w:p w14:paraId="30E6B5E8">
            <w:pPr>
              <w:spacing w:line="560" w:lineRule="exact"/>
              <w:rPr>
                <w:rFonts w:hint="eastAsia" w:ascii="仿宋" w:hAnsi="仿宋" w:eastAsia="仿宋" w:cs="仿宋"/>
                <w:color w:val="auto"/>
                <w:sz w:val="24"/>
                <w:szCs w:val="24"/>
                <w:highlight w:val="none"/>
              </w:rPr>
            </w:pPr>
          </w:p>
        </w:tc>
        <w:tc>
          <w:tcPr>
            <w:tcW w:w="982" w:type="dxa"/>
            <w:noWrap w:val="0"/>
            <w:vAlign w:val="top"/>
          </w:tcPr>
          <w:p w14:paraId="58CF0D1A">
            <w:pPr>
              <w:spacing w:line="560" w:lineRule="exact"/>
              <w:rPr>
                <w:rFonts w:hint="eastAsia" w:ascii="仿宋" w:hAnsi="仿宋" w:eastAsia="仿宋" w:cs="仿宋"/>
                <w:color w:val="auto"/>
                <w:sz w:val="24"/>
                <w:szCs w:val="24"/>
                <w:highlight w:val="none"/>
              </w:rPr>
            </w:pPr>
          </w:p>
        </w:tc>
      </w:tr>
      <w:tr w14:paraId="795C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80EA0BF">
            <w:pPr>
              <w:spacing w:line="560" w:lineRule="exact"/>
              <w:rPr>
                <w:rFonts w:hint="eastAsia" w:ascii="仿宋" w:hAnsi="仿宋" w:eastAsia="仿宋" w:cs="仿宋"/>
                <w:color w:val="auto"/>
                <w:sz w:val="24"/>
                <w:szCs w:val="24"/>
                <w:highlight w:val="none"/>
              </w:rPr>
            </w:pPr>
          </w:p>
        </w:tc>
        <w:tc>
          <w:tcPr>
            <w:tcW w:w="667" w:type="dxa"/>
            <w:noWrap w:val="0"/>
            <w:vAlign w:val="top"/>
          </w:tcPr>
          <w:p w14:paraId="6933B4E8">
            <w:pPr>
              <w:spacing w:line="560" w:lineRule="exact"/>
              <w:rPr>
                <w:rFonts w:hint="eastAsia" w:ascii="仿宋" w:hAnsi="仿宋" w:eastAsia="仿宋" w:cs="仿宋"/>
                <w:color w:val="auto"/>
                <w:sz w:val="24"/>
                <w:szCs w:val="24"/>
                <w:highlight w:val="none"/>
              </w:rPr>
            </w:pPr>
          </w:p>
        </w:tc>
        <w:tc>
          <w:tcPr>
            <w:tcW w:w="817" w:type="dxa"/>
            <w:noWrap w:val="0"/>
            <w:vAlign w:val="top"/>
          </w:tcPr>
          <w:p w14:paraId="0E1C09C3">
            <w:pPr>
              <w:spacing w:line="560" w:lineRule="exact"/>
              <w:rPr>
                <w:rFonts w:hint="eastAsia" w:ascii="仿宋" w:hAnsi="仿宋" w:eastAsia="仿宋" w:cs="仿宋"/>
                <w:color w:val="auto"/>
                <w:sz w:val="24"/>
                <w:szCs w:val="24"/>
                <w:highlight w:val="none"/>
              </w:rPr>
            </w:pPr>
          </w:p>
        </w:tc>
        <w:tc>
          <w:tcPr>
            <w:tcW w:w="1333" w:type="dxa"/>
            <w:noWrap w:val="0"/>
            <w:vAlign w:val="top"/>
          </w:tcPr>
          <w:p w14:paraId="235BC812">
            <w:pPr>
              <w:spacing w:line="560" w:lineRule="exact"/>
              <w:rPr>
                <w:rFonts w:hint="eastAsia" w:ascii="仿宋" w:hAnsi="仿宋" w:eastAsia="仿宋" w:cs="仿宋"/>
                <w:color w:val="auto"/>
                <w:sz w:val="24"/>
                <w:szCs w:val="24"/>
                <w:highlight w:val="none"/>
              </w:rPr>
            </w:pPr>
          </w:p>
        </w:tc>
        <w:tc>
          <w:tcPr>
            <w:tcW w:w="1162" w:type="dxa"/>
            <w:noWrap w:val="0"/>
            <w:vAlign w:val="top"/>
          </w:tcPr>
          <w:p w14:paraId="73317A9F">
            <w:pPr>
              <w:spacing w:line="560" w:lineRule="exact"/>
              <w:rPr>
                <w:rFonts w:hint="eastAsia" w:ascii="仿宋" w:hAnsi="仿宋" w:eastAsia="仿宋" w:cs="仿宋"/>
                <w:color w:val="auto"/>
                <w:sz w:val="24"/>
                <w:szCs w:val="24"/>
                <w:highlight w:val="none"/>
              </w:rPr>
            </w:pPr>
          </w:p>
        </w:tc>
        <w:tc>
          <w:tcPr>
            <w:tcW w:w="2000" w:type="dxa"/>
            <w:noWrap w:val="0"/>
            <w:vAlign w:val="top"/>
          </w:tcPr>
          <w:p w14:paraId="350EDA9A">
            <w:pPr>
              <w:spacing w:line="560" w:lineRule="exact"/>
              <w:rPr>
                <w:rFonts w:hint="eastAsia" w:ascii="仿宋" w:hAnsi="仿宋" w:eastAsia="仿宋" w:cs="仿宋"/>
                <w:color w:val="auto"/>
                <w:sz w:val="24"/>
                <w:szCs w:val="24"/>
                <w:highlight w:val="none"/>
              </w:rPr>
            </w:pPr>
          </w:p>
        </w:tc>
        <w:tc>
          <w:tcPr>
            <w:tcW w:w="1061" w:type="dxa"/>
            <w:noWrap w:val="0"/>
            <w:vAlign w:val="top"/>
          </w:tcPr>
          <w:p w14:paraId="44690DF1">
            <w:pPr>
              <w:spacing w:line="560" w:lineRule="exact"/>
              <w:rPr>
                <w:rFonts w:hint="eastAsia" w:ascii="仿宋" w:hAnsi="仿宋" w:eastAsia="仿宋" w:cs="仿宋"/>
                <w:color w:val="auto"/>
                <w:sz w:val="24"/>
                <w:szCs w:val="24"/>
                <w:highlight w:val="none"/>
              </w:rPr>
            </w:pPr>
          </w:p>
        </w:tc>
        <w:tc>
          <w:tcPr>
            <w:tcW w:w="982" w:type="dxa"/>
            <w:noWrap w:val="0"/>
            <w:vAlign w:val="top"/>
          </w:tcPr>
          <w:p w14:paraId="2AEDF2CE">
            <w:pPr>
              <w:spacing w:line="560" w:lineRule="exact"/>
              <w:rPr>
                <w:rFonts w:hint="eastAsia" w:ascii="仿宋" w:hAnsi="仿宋" w:eastAsia="仿宋" w:cs="仿宋"/>
                <w:color w:val="auto"/>
                <w:sz w:val="24"/>
                <w:szCs w:val="24"/>
                <w:highlight w:val="none"/>
              </w:rPr>
            </w:pPr>
          </w:p>
        </w:tc>
      </w:tr>
      <w:tr w14:paraId="7546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3EECB722">
            <w:pPr>
              <w:spacing w:line="560" w:lineRule="exact"/>
              <w:rPr>
                <w:rFonts w:hint="eastAsia" w:ascii="仿宋" w:hAnsi="仿宋" w:eastAsia="仿宋" w:cs="仿宋"/>
                <w:color w:val="auto"/>
                <w:sz w:val="24"/>
                <w:szCs w:val="24"/>
                <w:highlight w:val="none"/>
              </w:rPr>
            </w:pPr>
          </w:p>
        </w:tc>
        <w:tc>
          <w:tcPr>
            <w:tcW w:w="667" w:type="dxa"/>
            <w:noWrap w:val="0"/>
            <w:vAlign w:val="top"/>
          </w:tcPr>
          <w:p w14:paraId="6189CBBE">
            <w:pPr>
              <w:spacing w:line="560" w:lineRule="exact"/>
              <w:rPr>
                <w:rFonts w:hint="eastAsia" w:ascii="仿宋" w:hAnsi="仿宋" w:eastAsia="仿宋" w:cs="仿宋"/>
                <w:color w:val="auto"/>
                <w:sz w:val="24"/>
                <w:szCs w:val="24"/>
                <w:highlight w:val="none"/>
              </w:rPr>
            </w:pPr>
          </w:p>
        </w:tc>
        <w:tc>
          <w:tcPr>
            <w:tcW w:w="817" w:type="dxa"/>
            <w:noWrap w:val="0"/>
            <w:vAlign w:val="top"/>
          </w:tcPr>
          <w:p w14:paraId="7F9F9075">
            <w:pPr>
              <w:spacing w:line="560" w:lineRule="exact"/>
              <w:rPr>
                <w:rFonts w:hint="eastAsia" w:ascii="仿宋" w:hAnsi="仿宋" w:eastAsia="仿宋" w:cs="仿宋"/>
                <w:color w:val="auto"/>
                <w:sz w:val="24"/>
                <w:szCs w:val="24"/>
                <w:highlight w:val="none"/>
              </w:rPr>
            </w:pPr>
          </w:p>
        </w:tc>
        <w:tc>
          <w:tcPr>
            <w:tcW w:w="1333" w:type="dxa"/>
            <w:noWrap w:val="0"/>
            <w:vAlign w:val="top"/>
          </w:tcPr>
          <w:p w14:paraId="6666FA2B">
            <w:pPr>
              <w:spacing w:line="560" w:lineRule="exact"/>
              <w:rPr>
                <w:rFonts w:hint="eastAsia" w:ascii="仿宋" w:hAnsi="仿宋" w:eastAsia="仿宋" w:cs="仿宋"/>
                <w:color w:val="auto"/>
                <w:sz w:val="24"/>
                <w:szCs w:val="24"/>
                <w:highlight w:val="none"/>
              </w:rPr>
            </w:pPr>
          </w:p>
        </w:tc>
        <w:tc>
          <w:tcPr>
            <w:tcW w:w="1162" w:type="dxa"/>
            <w:noWrap w:val="0"/>
            <w:vAlign w:val="top"/>
          </w:tcPr>
          <w:p w14:paraId="446C6FE3">
            <w:pPr>
              <w:spacing w:line="560" w:lineRule="exact"/>
              <w:rPr>
                <w:rFonts w:hint="eastAsia" w:ascii="仿宋" w:hAnsi="仿宋" w:eastAsia="仿宋" w:cs="仿宋"/>
                <w:color w:val="auto"/>
                <w:sz w:val="24"/>
                <w:szCs w:val="24"/>
                <w:highlight w:val="none"/>
              </w:rPr>
            </w:pPr>
          </w:p>
        </w:tc>
        <w:tc>
          <w:tcPr>
            <w:tcW w:w="2000" w:type="dxa"/>
            <w:noWrap w:val="0"/>
            <w:vAlign w:val="top"/>
          </w:tcPr>
          <w:p w14:paraId="2C1B7DC0">
            <w:pPr>
              <w:spacing w:line="560" w:lineRule="exact"/>
              <w:rPr>
                <w:rFonts w:hint="eastAsia" w:ascii="仿宋" w:hAnsi="仿宋" w:eastAsia="仿宋" w:cs="仿宋"/>
                <w:color w:val="auto"/>
                <w:sz w:val="24"/>
                <w:szCs w:val="24"/>
                <w:highlight w:val="none"/>
              </w:rPr>
            </w:pPr>
          </w:p>
        </w:tc>
        <w:tc>
          <w:tcPr>
            <w:tcW w:w="1061" w:type="dxa"/>
            <w:noWrap w:val="0"/>
            <w:vAlign w:val="top"/>
          </w:tcPr>
          <w:p w14:paraId="7C822A68">
            <w:pPr>
              <w:spacing w:line="560" w:lineRule="exact"/>
              <w:rPr>
                <w:rFonts w:hint="eastAsia" w:ascii="仿宋" w:hAnsi="仿宋" w:eastAsia="仿宋" w:cs="仿宋"/>
                <w:color w:val="auto"/>
                <w:sz w:val="24"/>
                <w:szCs w:val="24"/>
                <w:highlight w:val="none"/>
              </w:rPr>
            </w:pPr>
          </w:p>
        </w:tc>
        <w:tc>
          <w:tcPr>
            <w:tcW w:w="982" w:type="dxa"/>
            <w:noWrap w:val="0"/>
            <w:vAlign w:val="top"/>
          </w:tcPr>
          <w:p w14:paraId="720D8512">
            <w:pPr>
              <w:spacing w:line="560" w:lineRule="exact"/>
              <w:rPr>
                <w:rFonts w:hint="eastAsia" w:ascii="仿宋" w:hAnsi="仿宋" w:eastAsia="仿宋" w:cs="仿宋"/>
                <w:color w:val="auto"/>
                <w:sz w:val="24"/>
                <w:szCs w:val="24"/>
                <w:highlight w:val="none"/>
              </w:rPr>
            </w:pPr>
          </w:p>
        </w:tc>
      </w:tr>
      <w:tr w14:paraId="2B50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5331C662">
            <w:pPr>
              <w:spacing w:line="560" w:lineRule="exact"/>
              <w:rPr>
                <w:rFonts w:hint="eastAsia" w:ascii="仿宋" w:hAnsi="仿宋" w:eastAsia="仿宋" w:cs="仿宋"/>
                <w:color w:val="auto"/>
                <w:sz w:val="24"/>
                <w:szCs w:val="24"/>
                <w:highlight w:val="none"/>
              </w:rPr>
            </w:pPr>
          </w:p>
        </w:tc>
        <w:tc>
          <w:tcPr>
            <w:tcW w:w="667" w:type="dxa"/>
            <w:noWrap w:val="0"/>
            <w:vAlign w:val="top"/>
          </w:tcPr>
          <w:p w14:paraId="7A1BDBDE">
            <w:pPr>
              <w:spacing w:line="560" w:lineRule="exact"/>
              <w:rPr>
                <w:rFonts w:hint="eastAsia" w:ascii="仿宋" w:hAnsi="仿宋" w:eastAsia="仿宋" w:cs="仿宋"/>
                <w:color w:val="auto"/>
                <w:sz w:val="24"/>
                <w:szCs w:val="24"/>
                <w:highlight w:val="none"/>
              </w:rPr>
            </w:pPr>
          </w:p>
        </w:tc>
        <w:tc>
          <w:tcPr>
            <w:tcW w:w="817" w:type="dxa"/>
            <w:noWrap w:val="0"/>
            <w:vAlign w:val="top"/>
          </w:tcPr>
          <w:p w14:paraId="15689268">
            <w:pPr>
              <w:spacing w:line="560" w:lineRule="exact"/>
              <w:rPr>
                <w:rFonts w:hint="eastAsia" w:ascii="仿宋" w:hAnsi="仿宋" w:eastAsia="仿宋" w:cs="仿宋"/>
                <w:color w:val="auto"/>
                <w:sz w:val="24"/>
                <w:szCs w:val="24"/>
                <w:highlight w:val="none"/>
              </w:rPr>
            </w:pPr>
          </w:p>
        </w:tc>
        <w:tc>
          <w:tcPr>
            <w:tcW w:w="1333" w:type="dxa"/>
            <w:noWrap w:val="0"/>
            <w:vAlign w:val="top"/>
          </w:tcPr>
          <w:p w14:paraId="6709B66F">
            <w:pPr>
              <w:spacing w:line="560" w:lineRule="exact"/>
              <w:rPr>
                <w:rFonts w:hint="eastAsia" w:ascii="仿宋" w:hAnsi="仿宋" w:eastAsia="仿宋" w:cs="仿宋"/>
                <w:color w:val="auto"/>
                <w:sz w:val="24"/>
                <w:szCs w:val="24"/>
                <w:highlight w:val="none"/>
              </w:rPr>
            </w:pPr>
          </w:p>
        </w:tc>
        <w:tc>
          <w:tcPr>
            <w:tcW w:w="1162" w:type="dxa"/>
            <w:noWrap w:val="0"/>
            <w:vAlign w:val="top"/>
          </w:tcPr>
          <w:p w14:paraId="69711172">
            <w:pPr>
              <w:spacing w:line="560" w:lineRule="exact"/>
              <w:rPr>
                <w:rFonts w:hint="eastAsia" w:ascii="仿宋" w:hAnsi="仿宋" w:eastAsia="仿宋" w:cs="仿宋"/>
                <w:color w:val="auto"/>
                <w:sz w:val="24"/>
                <w:szCs w:val="24"/>
                <w:highlight w:val="none"/>
              </w:rPr>
            </w:pPr>
          </w:p>
        </w:tc>
        <w:tc>
          <w:tcPr>
            <w:tcW w:w="2000" w:type="dxa"/>
            <w:noWrap w:val="0"/>
            <w:vAlign w:val="top"/>
          </w:tcPr>
          <w:p w14:paraId="5988FF07">
            <w:pPr>
              <w:spacing w:line="560" w:lineRule="exact"/>
              <w:rPr>
                <w:rFonts w:hint="eastAsia" w:ascii="仿宋" w:hAnsi="仿宋" w:eastAsia="仿宋" w:cs="仿宋"/>
                <w:color w:val="auto"/>
                <w:sz w:val="24"/>
                <w:szCs w:val="24"/>
                <w:highlight w:val="none"/>
              </w:rPr>
            </w:pPr>
          </w:p>
        </w:tc>
        <w:tc>
          <w:tcPr>
            <w:tcW w:w="1061" w:type="dxa"/>
            <w:noWrap w:val="0"/>
            <w:vAlign w:val="top"/>
          </w:tcPr>
          <w:p w14:paraId="2DE573F5">
            <w:pPr>
              <w:spacing w:line="560" w:lineRule="exact"/>
              <w:rPr>
                <w:rFonts w:hint="eastAsia" w:ascii="仿宋" w:hAnsi="仿宋" w:eastAsia="仿宋" w:cs="仿宋"/>
                <w:color w:val="auto"/>
                <w:sz w:val="24"/>
                <w:szCs w:val="24"/>
                <w:highlight w:val="none"/>
              </w:rPr>
            </w:pPr>
          </w:p>
        </w:tc>
        <w:tc>
          <w:tcPr>
            <w:tcW w:w="982" w:type="dxa"/>
            <w:noWrap w:val="0"/>
            <w:vAlign w:val="top"/>
          </w:tcPr>
          <w:p w14:paraId="676461AB">
            <w:pPr>
              <w:spacing w:line="560" w:lineRule="exact"/>
              <w:rPr>
                <w:rFonts w:hint="eastAsia" w:ascii="仿宋" w:hAnsi="仿宋" w:eastAsia="仿宋" w:cs="仿宋"/>
                <w:color w:val="auto"/>
                <w:sz w:val="24"/>
                <w:szCs w:val="24"/>
                <w:highlight w:val="none"/>
              </w:rPr>
            </w:pPr>
          </w:p>
        </w:tc>
      </w:tr>
      <w:tr w14:paraId="51E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921A60F">
            <w:pPr>
              <w:spacing w:line="560" w:lineRule="exact"/>
              <w:rPr>
                <w:rFonts w:hint="eastAsia" w:ascii="仿宋" w:hAnsi="仿宋" w:eastAsia="仿宋" w:cs="仿宋"/>
                <w:color w:val="auto"/>
                <w:sz w:val="24"/>
                <w:szCs w:val="24"/>
                <w:highlight w:val="none"/>
              </w:rPr>
            </w:pPr>
          </w:p>
        </w:tc>
        <w:tc>
          <w:tcPr>
            <w:tcW w:w="667" w:type="dxa"/>
            <w:noWrap w:val="0"/>
            <w:vAlign w:val="top"/>
          </w:tcPr>
          <w:p w14:paraId="0B6219B7">
            <w:pPr>
              <w:spacing w:line="560" w:lineRule="exact"/>
              <w:rPr>
                <w:rFonts w:hint="eastAsia" w:ascii="仿宋" w:hAnsi="仿宋" w:eastAsia="仿宋" w:cs="仿宋"/>
                <w:color w:val="auto"/>
                <w:sz w:val="24"/>
                <w:szCs w:val="24"/>
                <w:highlight w:val="none"/>
              </w:rPr>
            </w:pPr>
          </w:p>
        </w:tc>
        <w:tc>
          <w:tcPr>
            <w:tcW w:w="817" w:type="dxa"/>
            <w:noWrap w:val="0"/>
            <w:vAlign w:val="top"/>
          </w:tcPr>
          <w:p w14:paraId="49CD5A40">
            <w:pPr>
              <w:spacing w:line="560" w:lineRule="exact"/>
              <w:rPr>
                <w:rFonts w:hint="eastAsia" w:ascii="仿宋" w:hAnsi="仿宋" w:eastAsia="仿宋" w:cs="仿宋"/>
                <w:color w:val="auto"/>
                <w:sz w:val="24"/>
                <w:szCs w:val="24"/>
                <w:highlight w:val="none"/>
              </w:rPr>
            </w:pPr>
          </w:p>
        </w:tc>
        <w:tc>
          <w:tcPr>
            <w:tcW w:w="1333" w:type="dxa"/>
            <w:noWrap w:val="0"/>
            <w:vAlign w:val="top"/>
          </w:tcPr>
          <w:p w14:paraId="3296EE7C">
            <w:pPr>
              <w:spacing w:line="560" w:lineRule="exact"/>
              <w:rPr>
                <w:rFonts w:hint="eastAsia" w:ascii="仿宋" w:hAnsi="仿宋" w:eastAsia="仿宋" w:cs="仿宋"/>
                <w:color w:val="auto"/>
                <w:sz w:val="24"/>
                <w:szCs w:val="24"/>
                <w:highlight w:val="none"/>
              </w:rPr>
            </w:pPr>
          </w:p>
        </w:tc>
        <w:tc>
          <w:tcPr>
            <w:tcW w:w="1162" w:type="dxa"/>
            <w:noWrap w:val="0"/>
            <w:vAlign w:val="top"/>
          </w:tcPr>
          <w:p w14:paraId="31F9CD16">
            <w:pPr>
              <w:spacing w:line="560" w:lineRule="exact"/>
              <w:rPr>
                <w:rFonts w:hint="eastAsia" w:ascii="仿宋" w:hAnsi="仿宋" w:eastAsia="仿宋" w:cs="仿宋"/>
                <w:color w:val="auto"/>
                <w:sz w:val="24"/>
                <w:szCs w:val="24"/>
                <w:highlight w:val="none"/>
              </w:rPr>
            </w:pPr>
          </w:p>
        </w:tc>
        <w:tc>
          <w:tcPr>
            <w:tcW w:w="2000" w:type="dxa"/>
            <w:noWrap w:val="0"/>
            <w:vAlign w:val="top"/>
          </w:tcPr>
          <w:p w14:paraId="41B6F6EE">
            <w:pPr>
              <w:spacing w:line="560" w:lineRule="exact"/>
              <w:rPr>
                <w:rFonts w:hint="eastAsia" w:ascii="仿宋" w:hAnsi="仿宋" w:eastAsia="仿宋" w:cs="仿宋"/>
                <w:color w:val="auto"/>
                <w:sz w:val="24"/>
                <w:szCs w:val="24"/>
                <w:highlight w:val="none"/>
              </w:rPr>
            </w:pPr>
          </w:p>
        </w:tc>
        <w:tc>
          <w:tcPr>
            <w:tcW w:w="1061" w:type="dxa"/>
            <w:noWrap w:val="0"/>
            <w:vAlign w:val="top"/>
          </w:tcPr>
          <w:p w14:paraId="6E664D0A">
            <w:pPr>
              <w:spacing w:line="560" w:lineRule="exact"/>
              <w:rPr>
                <w:rFonts w:hint="eastAsia" w:ascii="仿宋" w:hAnsi="仿宋" w:eastAsia="仿宋" w:cs="仿宋"/>
                <w:color w:val="auto"/>
                <w:sz w:val="24"/>
                <w:szCs w:val="24"/>
                <w:highlight w:val="none"/>
              </w:rPr>
            </w:pPr>
          </w:p>
        </w:tc>
        <w:tc>
          <w:tcPr>
            <w:tcW w:w="982" w:type="dxa"/>
            <w:noWrap w:val="0"/>
            <w:vAlign w:val="top"/>
          </w:tcPr>
          <w:p w14:paraId="6DCBE1B5">
            <w:pPr>
              <w:spacing w:line="560" w:lineRule="exact"/>
              <w:rPr>
                <w:rFonts w:hint="eastAsia" w:ascii="仿宋" w:hAnsi="仿宋" w:eastAsia="仿宋" w:cs="仿宋"/>
                <w:color w:val="auto"/>
                <w:sz w:val="24"/>
                <w:szCs w:val="24"/>
                <w:highlight w:val="none"/>
              </w:rPr>
            </w:pPr>
          </w:p>
        </w:tc>
      </w:tr>
    </w:tbl>
    <w:p w14:paraId="0E904479">
      <w:pPr>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注：后附管理机构人员证书资料等。</w:t>
      </w:r>
    </w:p>
    <w:p w14:paraId="4370BDDD">
      <w:pPr>
        <w:spacing w:line="560" w:lineRule="exact"/>
        <w:rPr>
          <w:rFonts w:hint="eastAsia" w:ascii="仿宋" w:hAnsi="仿宋" w:eastAsia="仿宋" w:cs="仿宋"/>
          <w:color w:val="auto"/>
          <w:sz w:val="24"/>
          <w:szCs w:val="24"/>
          <w:highlight w:val="none"/>
        </w:rPr>
      </w:pPr>
    </w:p>
    <w:p w14:paraId="26B716C6">
      <w:pPr>
        <w:rPr>
          <w:rFonts w:hint="eastAsia" w:ascii="仿宋" w:hAnsi="仿宋" w:eastAsia="仿宋" w:cs="仿宋"/>
          <w:color w:val="auto"/>
          <w:sz w:val="24"/>
          <w:szCs w:val="24"/>
          <w:highlight w:val="none"/>
        </w:rPr>
      </w:pPr>
    </w:p>
    <w:p w14:paraId="632DAA2E">
      <w:pPr>
        <w:spacing w:after="120" w:line="360" w:lineRule="exact"/>
        <w:ind w:firstLine="420"/>
        <w:rPr>
          <w:rFonts w:hint="eastAsia" w:ascii="仿宋" w:hAnsi="仿宋" w:eastAsia="仿宋" w:cs="仿宋"/>
          <w:color w:val="auto"/>
          <w:kern w:val="0"/>
          <w:sz w:val="24"/>
          <w:szCs w:val="24"/>
          <w:highlight w:val="none"/>
        </w:rPr>
      </w:pPr>
    </w:p>
    <w:p w14:paraId="4F21E259">
      <w:pPr>
        <w:spacing w:after="120" w:line="360" w:lineRule="exact"/>
        <w:ind w:firstLine="420"/>
        <w:rPr>
          <w:rFonts w:hint="eastAsia" w:ascii="仿宋" w:hAnsi="仿宋" w:eastAsia="仿宋" w:cs="仿宋"/>
          <w:color w:val="auto"/>
          <w:kern w:val="0"/>
          <w:sz w:val="24"/>
          <w:szCs w:val="24"/>
          <w:highlight w:val="none"/>
        </w:rPr>
      </w:pPr>
    </w:p>
    <w:p w14:paraId="44C9F793">
      <w:pPr>
        <w:spacing w:after="120" w:line="360" w:lineRule="exact"/>
        <w:ind w:firstLine="420"/>
        <w:rPr>
          <w:rFonts w:hint="eastAsia" w:ascii="仿宋" w:hAnsi="仿宋" w:eastAsia="仿宋" w:cs="仿宋"/>
          <w:color w:val="auto"/>
          <w:kern w:val="0"/>
          <w:sz w:val="24"/>
          <w:szCs w:val="24"/>
          <w:highlight w:val="none"/>
        </w:rPr>
      </w:pPr>
    </w:p>
    <w:p w14:paraId="18A9E3BA">
      <w:pPr>
        <w:spacing w:after="120" w:line="360" w:lineRule="exact"/>
        <w:ind w:firstLine="420"/>
        <w:rPr>
          <w:rFonts w:hint="eastAsia" w:ascii="仿宋" w:hAnsi="仿宋" w:eastAsia="仿宋" w:cs="仿宋"/>
          <w:color w:val="auto"/>
          <w:kern w:val="0"/>
          <w:sz w:val="24"/>
          <w:szCs w:val="24"/>
          <w:highlight w:val="none"/>
        </w:rPr>
      </w:pPr>
    </w:p>
    <w:p w14:paraId="6689BEDF">
      <w:pPr>
        <w:keepNext/>
        <w:keepLines/>
        <w:numPr>
          <w:ilvl w:val="0"/>
          <w:numId w:val="6"/>
        </w:numPr>
        <w:spacing w:line="560" w:lineRule="exact"/>
        <w:jc w:val="center"/>
        <w:outlineLvl w:val="3"/>
        <w:rPr>
          <w:rFonts w:hint="eastAsia" w:ascii="仿宋" w:hAnsi="仿宋" w:eastAsia="仿宋" w:cs="仿宋"/>
          <w:b/>
          <w:bCs/>
          <w:color w:val="auto"/>
          <w:kern w:val="0"/>
          <w:sz w:val="24"/>
          <w:szCs w:val="24"/>
          <w:highlight w:val="none"/>
        </w:rPr>
      </w:pPr>
      <w:bookmarkStart w:id="644" w:name="_Toc7602"/>
      <w:r>
        <w:rPr>
          <w:rFonts w:hint="eastAsia" w:ascii="仿宋" w:hAnsi="仿宋" w:eastAsia="仿宋" w:cs="仿宋"/>
          <w:b/>
          <w:bCs/>
          <w:color w:val="auto"/>
          <w:kern w:val="0"/>
          <w:sz w:val="24"/>
          <w:szCs w:val="24"/>
          <w:highlight w:val="none"/>
        </w:rPr>
        <w:t>主要人员简历表</w:t>
      </w:r>
      <w:bookmarkEnd w:id="644"/>
    </w:p>
    <w:p w14:paraId="12347C0E">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附1：项目经理简历表</w:t>
      </w:r>
    </w:p>
    <w:p w14:paraId="72E32AD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项目经理应附建造师注册证书、身份证、安全生产考核合格证书、</w:t>
      </w:r>
      <w:r>
        <w:rPr>
          <w:rFonts w:hint="eastAsia" w:ascii="仿宋" w:hAnsi="仿宋" w:eastAsia="仿宋" w:cs="仿宋"/>
          <w:color w:val="auto"/>
          <w:sz w:val="24"/>
          <w:szCs w:val="24"/>
          <w:highlight w:val="none"/>
          <w:lang w:val="en-US" w:eastAsia="zh-CN"/>
        </w:rPr>
        <w:t>社保证明、</w:t>
      </w:r>
      <w:r>
        <w:rPr>
          <w:rFonts w:hint="eastAsia" w:ascii="仿宋" w:hAnsi="仿宋" w:eastAsia="仿宋" w:cs="仿宋"/>
          <w:color w:val="auto"/>
          <w:sz w:val="24"/>
          <w:szCs w:val="24"/>
          <w:highlight w:val="none"/>
        </w:rPr>
        <w:t>无在建工程承诺书</w:t>
      </w:r>
      <w:bookmarkStart w:id="645" w:name="_Hlk37358930"/>
      <w:r>
        <w:rPr>
          <w:rFonts w:hint="eastAsia" w:ascii="仿宋" w:hAnsi="仿宋" w:eastAsia="仿宋" w:cs="仿宋"/>
          <w:color w:val="auto"/>
          <w:sz w:val="24"/>
          <w:szCs w:val="24"/>
          <w:highlight w:val="none"/>
        </w:rPr>
        <w:t>，管理过的项目业绩须附</w:t>
      </w:r>
      <w:bookmarkEnd w:id="645"/>
      <w:r>
        <w:rPr>
          <w:rFonts w:hint="eastAsia" w:ascii="仿宋" w:hAnsi="仿宋" w:eastAsia="仿宋" w:cs="仿宋"/>
          <w:color w:val="auto"/>
          <w:sz w:val="24"/>
          <w:szCs w:val="24"/>
          <w:highlight w:val="none"/>
        </w:rPr>
        <w:t>合同协议书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等证明材料。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32"/>
        <w:gridCol w:w="1545"/>
        <w:gridCol w:w="1067"/>
        <w:gridCol w:w="862"/>
        <w:gridCol w:w="514"/>
        <w:gridCol w:w="1216"/>
        <w:gridCol w:w="700"/>
        <w:gridCol w:w="1706"/>
      </w:tblGrid>
      <w:tr w14:paraId="4836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129C2040">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545" w:type="dxa"/>
            <w:noWrap w:val="0"/>
            <w:vAlign w:val="top"/>
          </w:tcPr>
          <w:p w14:paraId="5CA89C58">
            <w:pPr>
              <w:spacing w:line="560" w:lineRule="exact"/>
              <w:rPr>
                <w:rFonts w:hint="eastAsia" w:ascii="仿宋" w:hAnsi="仿宋" w:eastAsia="仿宋" w:cs="仿宋"/>
                <w:color w:val="auto"/>
                <w:sz w:val="24"/>
                <w:szCs w:val="24"/>
                <w:highlight w:val="none"/>
              </w:rPr>
            </w:pPr>
          </w:p>
        </w:tc>
        <w:tc>
          <w:tcPr>
            <w:tcW w:w="1067" w:type="dxa"/>
            <w:noWrap w:val="0"/>
            <w:vAlign w:val="center"/>
          </w:tcPr>
          <w:p w14:paraId="54BFF987">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76" w:type="dxa"/>
            <w:gridSpan w:val="2"/>
            <w:noWrap w:val="0"/>
            <w:vAlign w:val="top"/>
          </w:tcPr>
          <w:p w14:paraId="425BF6DD">
            <w:pPr>
              <w:spacing w:line="560" w:lineRule="exact"/>
              <w:rPr>
                <w:rFonts w:hint="eastAsia" w:ascii="仿宋" w:hAnsi="仿宋" w:eastAsia="仿宋" w:cs="仿宋"/>
                <w:color w:val="auto"/>
                <w:sz w:val="24"/>
                <w:szCs w:val="24"/>
                <w:highlight w:val="none"/>
              </w:rPr>
            </w:pPr>
          </w:p>
        </w:tc>
        <w:tc>
          <w:tcPr>
            <w:tcW w:w="1916" w:type="dxa"/>
            <w:gridSpan w:val="2"/>
            <w:noWrap w:val="0"/>
            <w:vAlign w:val="center"/>
          </w:tcPr>
          <w:p w14:paraId="74B21B8B">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706" w:type="dxa"/>
            <w:noWrap w:val="0"/>
            <w:vAlign w:val="top"/>
          </w:tcPr>
          <w:p w14:paraId="7FF6AC06">
            <w:pPr>
              <w:spacing w:line="560" w:lineRule="exact"/>
              <w:rPr>
                <w:rFonts w:hint="eastAsia" w:ascii="仿宋" w:hAnsi="仿宋" w:eastAsia="仿宋" w:cs="仿宋"/>
                <w:color w:val="auto"/>
                <w:sz w:val="24"/>
                <w:szCs w:val="24"/>
                <w:highlight w:val="none"/>
              </w:rPr>
            </w:pPr>
          </w:p>
        </w:tc>
      </w:tr>
      <w:tr w14:paraId="3189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42F5A38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545" w:type="dxa"/>
            <w:noWrap w:val="0"/>
            <w:vAlign w:val="top"/>
          </w:tcPr>
          <w:p w14:paraId="58888C84">
            <w:pPr>
              <w:spacing w:line="560" w:lineRule="exact"/>
              <w:rPr>
                <w:rFonts w:hint="eastAsia" w:ascii="仿宋" w:hAnsi="仿宋" w:eastAsia="仿宋" w:cs="仿宋"/>
                <w:color w:val="auto"/>
                <w:sz w:val="24"/>
                <w:szCs w:val="24"/>
                <w:highlight w:val="none"/>
              </w:rPr>
            </w:pPr>
          </w:p>
        </w:tc>
        <w:tc>
          <w:tcPr>
            <w:tcW w:w="1067" w:type="dxa"/>
            <w:noWrap w:val="0"/>
            <w:vAlign w:val="center"/>
          </w:tcPr>
          <w:p w14:paraId="11965405">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376" w:type="dxa"/>
            <w:gridSpan w:val="2"/>
            <w:noWrap w:val="0"/>
            <w:vAlign w:val="top"/>
          </w:tcPr>
          <w:p w14:paraId="1E1CDF79">
            <w:pPr>
              <w:spacing w:line="560" w:lineRule="exact"/>
              <w:rPr>
                <w:rFonts w:hint="eastAsia" w:ascii="仿宋" w:hAnsi="仿宋" w:eastAsia="仿宋" w:cs="仿宋"/>
                <w:color w:val="auto"/>
                <w:sz w:val="24"/>
                <w:szCs w:val="24"/>
                <w:highlight w:val="none"/>
              </w:rPr>
            </w:pPr>
          </w:p>
        </w:tc>
        <w:tc>
          <w:tcPr>
            <w:tcW w:w="1916" w:type="dxa"/>
            <w:gridSpan w:val="2"/>
            <w:noWrap w:val="0"/>
            <w:vAlign w:val="center"/>
          </w:tcPr>
          <w:p w14:paraId="0E9C8162">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拟在本合同任职</w:t>
            </w:r>
          </w:p>
        </w:tc>
        <w:tc>
          <w:tcPr>
            <w:tcW w:w="1706" w:type="dxa"/>
            <w:noWrap w:val="0"/>
            <w:vAlign w:val="top"/>
          </w:tcPr>
          <w:p w14:paraId="3F7B6201">
            <w:pPr>
              <w:spacing w:line="560" w:lineRule="exact"/>
              <w:rPr>
                <w:rFonts w:hint="eastAsia" w:ascii="仿宋" w:hAnsi="仿宋" w:eastAsia="仿宋" w:cs="仿宋"/>
                <w:color w:val="auto"/>
                <w:sz w:val="24"/>
                <w:szCs w:val="24"/>
                <w:highlight w:val="none"/>
              </w:rPr>
            </w:pPr>
          </w:p>
        </w:tc>
      </w:tr>
      <w:tr w14:paraId="14B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1AA30DD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10" w:type="dxa"/>
            <w:gridSpan w:val="7"/>
            <w:noWrap w:val="0"/>
            <w:vAlign w:val="top"/>
          </w:tcPr>
          <w:p w14:paraId="67170374">
            <w:pPr>
              <w:spacing w:line="5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23E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509D8B0E">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注册建造师执业资格等级</w:t>
            </w:r>
          </w:p>
        </w:tc>
        <w:tc>
          <w:tcPr>
            <w:tcW w:w="7610" w:type="dxa"/>
            <w:gridSpan w:val="7"/>
            <w:noWrap w:val="0"/>
            <w:vAlign w:val="center"/>
          </w:tcPr>
          <w:p w14:paraId="118698ED">
            <w:pPr>
              <w:spacing w:line="56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证书等级：                 证书编号：</w:t>
            </w:r>
          </w:p>
        </w:tc>
      </w:tr>
      <w:tr w14:paraId="71B3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7DC36C5F">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安全生产考核合格证书</w:t>
            </w:r>
          </w:p>
        </w:tc>
        <w:tc>
          <w:tcPr>
            <w:tcW w:w="7610" w:type="dxa"/>
            <w:gridSpan w:val="7"/>
            <w:noWrap w:val="0"/>
            <w:vAlign w:val="center"/>
          </w:tcPr>
          <w:p w14:paraId="0EA79E15">
            <w:pPr>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证书编号：</w:t>
            </w:r>
          </w:p>
        </w:tc>
      </w:tr>
      <w:tr w14:paraId="5D5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77" w:type="dxa"/>
            <w:gridSpan w:val="9"/>
            <w:noWrap w:val="0"/>
            <w:vAlign w:val="top"/>
          </w:tcPr>
          <w:p w14:paraId="050674C3">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03D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center"/>
          </w:tcPr>
          <w:p w14:paraId="5873FFA7">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3806" w:type="dxa"/>
            <w:gridSpan w:val="4"/>
            <w:noWrap w:val="0"/>
            <w:vAlign w:val="center"/>
          </w:tcPr>
          <w:p w14:paraId="26B0F951">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730" w:type="dxa"/>
            <w:gridSpan w:val="2"/>
            <w:noWrap w:val="0"/>
            <w:vAlign w:val="center"/>
          </w:tcPr>
          <w:p w14:paraId="007164DA">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406" w:type="dxa"/>
            <w:gridSpan w:val="2"/>
            <w:noWrap w:val="0"/>
            <w:vAlign w:val="center"/>
          </w:tcPr>
          <w:p w14:paraId="6759E890">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010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1C145697">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032F195F">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79ADD15A">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49DFFBFA">
            <w:pPr>
              <w:spacing w:line="560" w:lineRule="exact"/>
              <w:rPr>
                <w:rFonts w:hint="eastAsia" w:ascii="仿宋" w:hAnsi="仿宋" w:eastAsia="仿宋" w:cs="仿宋"/>
                <w:color w:val="auto"/>
                <w:sz w:val="24"/>
                <w:szCs w:val="24"/>
                <w:highlight w:val="none"/>
              </w:rPr>
            </w:pPr>
          </w:p>
        </w:tc>
      </w:tr>
      <w:tr w14:paraId="65C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6861C1E5">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1B64CF4B">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7B40C7D9">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28AA8758">
            <w:pPr>
              <w:spacing w:line="560" w:lineRule="exact"/>
              <w:rPr>
                <w:rFonts w:hint="eastAsia" w:ascii="仿宋" w:hAnsi="仿宋" w:eastAsia="仿宋" w:cs="仿宋"/>
                <w:color w:val="auto"/>
                <w:sz w:val="24"/>
                <w:szCs w:val="24"/>
                <w:highlight w:val="none"/>
              </w:rPr>
            </w:pPr>
          </w:p>
        </w:tc>
      </w:tr>
      <w:tr w14:paraId="1FBE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7732DA6E">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2E4E3BCA">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5C305FB2">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0C525246">
            <w:pPr>
              <w:spacing w:line="560" w:lineRule="exact"/>
              <w:rPr>
                <w:rFonts w:hint="eastAsia" w:ascii="仿宋" w:hAnsi="仿宋" w:eastAsia="仿宋" w:cs="仿宋"/>
                <w:color w:val="auto"/>
                <w:sz w:val="24"/>
                <w:szCs w:val="24"/>
                <w:highlight w:val="none"/>
              </w:rPr>
            </w:pPr>
          </w:p>
        </w:tc>
      </w:tr>
      <w:tr w14:paraId="0427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5" w:type="dxa"/>
            <w:noWrap w:val="0"/>
            <w:vAlign w:val="top"/>
          </w:tcPr>
          <w:p w14:paraId="07D313B3">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6A95C957">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04221297">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4DF94FF2">
            <w:pPr>
              <w:spacing w:line="560" w:lineRule="exact"/>
              <w:rPr>
                <w:rFonts w:hint="eastAsia" w:ascii="仿宋" w:hAnsi="仿宋" w:eastAsia="仿宋" w:cs="仿宋"/>
                <w:color w:val="auto"/>
                <w:sz w:val="24"/>
                <w:szCs w:val="24"/>
                <w:highlight w:val="none"/>
              </w:rPr>
            </w:pPr>
          </w:p>
        </w:tc>
      </w:tr>
      <w:tr w14:paraId="484D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61F3B4AF">
            <w:pPr>
              <w:spacing w:line="560" w:lineRule="exact"/>
              <w:rPr>
                <w:rFonts w:hint="eastAsia" w:ascii="仿宋" w:hAnsi="仿宋" w:eastAsia="仿宋" w:cs="仿宋"/>
                <w:color w:val="auto"/>
                <w:sz w:val="24"/>
                <w:szCs w:val="24"/>
                <w:highlight w:val="none"/>
              </w:rPr>
            </w:pPr>
          </w:p>
        </w:tc>
        <w:tc>
          <w:tcPr>
            <w:tcW w:w="3806" w:type="dxa"/>
            <w:gridSpan w:val="4"/>
            <w:noWrap w:val="0"/>
            <w:vAlign w:val="top"/>
          </w:tcPr>
          <w:p w14:paraId="645A7D09">
            <w:pPr>
              <w:spacing w:line="560" w:lineRule="exact"/>
              <w:rPr>
                <w:rFonts w:hint="eastAsia" w:ascii="仿宋" w:hAnsi="仿宋" w:eastAsia="仿宋" w:cs="仿宋"/>
                <w:color w:val="auto"/>
                <w:sz w:val="24"/>
                <w:szCs w:val="24"/>
                <w:highlight w:val="none"/>
              </w:rPr>
            </w:pPr>
          </w:p>
        </w:tc>
        <w:tc>
          <w:tcPr>
            <w:tcW w:w="1730" w:type="dxa"/>
            <w:gridSpan w:val="2"/>
            <w:noWrap w:val="0"/>
            <w:vAlign w:val="top"/>
          </w:tcPr>
          <w:p w14:paraId="3D0739B9">
            <w:pPr>
              <w:spacing w:line="560" w:lineRule="exact"/>
              <w:rPr>
                <w:rFonts w:hint="eastAsia" w:ascii="仿宋" w:hAnsi="仿宋" w:eastAsia="仿宋" w:cs="仿宋"/>
                <w:color w:val="auto"/>
                <w:sz w:val="24"/>
                <w:szCs w:val="24"/>
                <w:highlight w:val="none"/>
              </w:rPr>
            </w:pPr>
          </w:p>
        </w:tc>
        <w:tc>
          <w:tcPr>
            <w:tcW w:w="2406" w:type="dxa"/>
            <w:gridSpan w:val="2"/>
            <w:noWrap w:val="0"/>
            <w:vAlign w:val="top"/>
          </w:tcPr>
          <w:p w14:paraId="7E2B2862">
            <w:pPr>
              <w:spacing w:line="560" w:lineRule="exact"/>
              <w:rPr>
                <w:rFonts w:hint="eastAsia" w:ascii="仿宋" w:hAnsi="仿宋" w:eastAsia="仿宋" w:cs="仿宋"/>
                <w:color w:val="auto"/>
                <w:sz w:val="24"/>
                <w:szCs w:val="24"/>
                <w:highlight w:val="none"/>
              </w:rPr>
            </w:pPr>
          </w:p>
        </w:tc>
      </w:tr>
    </w:tbl>
    <w:p w14:paraId="4866B372">
      <w:pPr>
        <w:rPr>
          <w:rFonts w:hint="eastAsia" w:ascii="仿宋" w:hAnsi="仿宋" w:eastAsia="仿宋" w:cs="仿宋"/>
          <w:color w:val="auto"/>
          <w:sz w:val="24"/>
          <w:szCs w:val="24"/>
          <w:highlight w:val="none"/>
        </w:rPr>
      </w:pPr>
    </w:p>
    <w:p w14:paraId="017C6FDC">
      <w:pPr>
        <w:rPr>
          <w:rFonts w:hint="eastAsia" w:ascii="仿宋" w:hAnsi="仿宋" w:eastAsia="仿宋" w:cs="仿宋"/>
          <w:color w:val="auto"/>
          <w:sz w:val="24"/>
          <w:szCs w:val="24"/>
          <w:highlight w:val="none"/>
        </w:rPr>
      </w:pPr>
    </w:p>
    <w:p w14:paraId="125C902F">
      <w:pPr>
        <w:rPr>
          <w:rFonts w:hint="eastAsia" w:ascii="仿宋" w:hAnsi="仿宋" w:eastAsia="仿宋" w:cs="仿宋"/>
          <w:color w:val="auto"/>
          <w:sz w:val="24"/>
          <w:szCs w:val="24"/>
          <w:highlight w:val="none"/>
        </w:rPr>
      </w:pPr>
    </w:p>
    <w:p w14:paraId="64D98AFC">
      <w:pPr>
        <w:rPr>
          <w:rFonts w:hint="eastAsia" w:ascii="仿宋" w:hAnsi="仿宋" w:eastAsia="仿宋" w:cs="仿宋"/>
          <w:color w:val="auto"/>
          <w:sz w:val="24"/>
          <w:szCs w:val="24"/>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3E2C8D6F">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附件2：</w:t>
      </w:r>
    </w:p>
    <w:p w14:paraId="47DC7A18">
      <w:pPr>
        <w:keepNext/>
        <w:keepLines/>
        <w:numPr>
          <w:ilvl w:val="0"/>
          <w:numId w:val="0"/>
        </w:numPr>
        <w:spacing w:line="560" w:lineRule="exact"/>
        <w:jc w:val="center"/>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项目经理无在建承诺书</w:t>
      </w:r>
    </w:p>
    <w:p w14:paraId="282BD2A1">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u w:val="single"/>
          <w:lang w:val="en-US" w:eastAsia="zh-CN"/>
        </w:rPr>
        <w:t xml:space="preserve">（采购人名称）   </w:t>
      </w:r>
      <w:r>
        <w:rPr>
          <w:rFonts w:hint="eastAsia" w:ascii="仿宋" w:hAnsi="仿宋" w:eastAsia="仿宋" w:cs="仿宋"/>
          <w:b w:val="0"/>
          <w:bCs w:val="0"/>
          <w:color w:val="auto"/>
          <w:kern w:val="0"/>
          <w:sz w:val="24"/>
          <w:szCs w:val="24"/>
          <w:highlight w:val="none"/>
          <w:lang w:val="en-US" w:eastAsia="zh-CN"/>
        </w:rPr>
        <w:t>：</w:t>
      </w:r>
    </w:p>
    <w:p w14:paraId="6BA1CE20">
      <w:pPr>
        <w:keepNext/>
        <w:keepLines/>
        <w:numPr>
          <w:ilvl w:val="0"/>
          <w:numId w:val="0"/>
        </w:numPr>
        <w:spacing w:line="560" w:lineRule="exact"/>
        <w:ind w:firstLine="480" w:firstLineChars="200"/>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我方在此声明，我方拟派往</w:t>
      </w:r>
      <w:r>
        <w:rPr>
          <w:rFonts w:hint="eastAsia" w:ascii="仿宋" w:hAnsi="仿宋" w:eastAsia="仿宋" w:cs="仿宋"/>
          <w:b w:val="0"/>
          <w:bCs w:val="0"/>
          <w:color w:val="auto"/>
          <w:kern w:val="0"/>
          <w:sz w:val="24"/>
          <w:szCs w:val="24"/>
          <w:highlight w:val="none"/>
          <w:u w:val="single"/>
          <w:lang w:val="en-US" w:eastAsia="zh-CN"/>
        </w:rPr>
        <w:t xml:space="preserve"> （项目名称）  </w:t>
      </w:r>
      <w:r>
        <w:rPr>
          <w:rFonts w:hint="eastAsia" w:ascii="仿宋" w:hAnsi="仿宋" w:eastAsia="仿宋" w:cs="仿宋"/>
          <w:b w:val="0"/>
          <w:bCs w:val="0"/>
          <w:color w:val="auto"/>
          <w:kern w:val="0"/>
          <w:sz w:val="24"/>
          <w:szCs w:val="24"/>
          <w:highlight w:val="none"/>
          <w:lang w:val="en-US" w:eastAsia="zh-CN"/>
        </w:rPr>
        <w:t>（以下简称“本工程”）的项目经理</w:t>
      </w:r>
      <w:r>
        <w:rPr>
          <w:rFonts w:hint="eastAsia" w:ascii="仿宋" w:hAnsi="仿宋" w:eastAsia="仿宋" w:cs="仿宋"/>
          <w:b w:val="0"/>
          <w:bCs w:val="0"/>
          <w:color w:val="auto"/>
          <w:kern w:val="0"/>
          <w:sz w:val="24"/>
          <w:szCs w:val="24"/>
          <w:highlight w:val="none"/>
          <w:u w:val="single"/>
          <w:lang w:val="en-US" w:eastAsia="zh-CN"/>
        </w:rPr>
        <w:t>（项目经理姓名）</w:t>
      </w:r>
      <w:r>
        <w:rPr>
          <w:rFonts w:hint="eastAsia" w:ascii="仿宋" w:hAnsi="仿宋" w:eastAsia="仿宋" w:cs="仿宋"/>
          <w:b w:val="0"/>
          <w:bCs w:val="0"/>
          <w:color w:val="auto"/>
          <w:kern w:val="0"/>
          <w:sz w:val="24"/>
          <w:szCs w:val="24"/>
          <w:highlight w:val="none"/>
          <w:lang w:val="en-US" w:eastAsia="zh-CN"/>
        </w:rPr>
        <w:t>现阶段没有担任任何在施建设工程项目的项目经理。我方保证上述信息的真实和准确，并愿意承担因我方就此弄虚作假所引起的一切法律后果。</w:t>
      </w:r>
    </w:p>
    <w:p w14:paraId="2B20E570">
      <w:pPr>
        <w:keepNext/>
        <w:keepLines/>
        <w:numPr>
          <w:ilvl w:val="0"/>
          <w:numId w:val="0"/>
        </w:numPr>
        <w:spacing w:line="560" w:lineRule="exact"/>
        <w:ind w:firstLine="480" w:firstLineChars="200"/>
        <w:jc w:val="both"/>
        <w:outlineLvl w:val="3"/>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特此承诺！</w:t>
      </w:r>
    </w:p>
    <w:p w14:paraId="73459EB4">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1642A288">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474DF87C">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76415E28">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p>
    <w:p w14:paraId="7BADD0A1">
      <w:pPr>
        <w:wordWrap w:val="0"/>
        <w:spacing w:line="450" w:lineRule="atLeas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w:t>
      </w:r>
    </w:p>
    <w:p w14:paraId="5C8EF732">
      <w:pPr>
        <w:wordWrap w:val="0"/>
        <w:spacing w:line="45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C175D61">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6E66E8CA">
      <w:pP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br w:type="page"/>
      </w:r>
    </w:p>
    <w:p w14:paraId="282D6226">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附</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其他</w:t>
      </w:r>
      <w:r>
        <w:rPr>
          <w:rFonts w:hint="eastAsia" w:ascii="仿宋" w:hAnsi="仿宋" w:eastAsia="仿宋" w:cs="仿宋"/>
          <w:b w:val="0"/>
          <w:bCs w:val="0"/>
          <w:color w:val="auto"/>
          <w:kern w:val="0"/>
          <w:sz w:val="24"/>
          <w:szCs w:val="24"/>
          <w:highlight w:val="none"/>
        </w:rPr>
        <w:t>主要人员简历表</w:t>
      </w:r>
    </w:p>
    <w:p w14:paraId="47D6E1AF">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其他主要人员指施工员、质量员、专职安全员、材料员、预算员等岗位人员。</w:t>
      </w:r>
    </w:p>
    <w:p w14:paraId="626AB4B9">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应附</w:t>
      </w:r>
      <w:r>
        <w:rPr>
          <w:rFonts w:hint="eastAsia" w:ascii="仿宋" w:hAnsi="仿宋" w:eastAsia="仿宋" w:cs="仿宋"/>
          <w:color w:val="auto"/>
          <w:sz w:val="24"/>
          <w:szCs w:val="24"/>
          <w:highlight w:val="none"/>
          <w:lang w:val="en-US" w:eastAsia="zh-CN"/>
        </w:rPr>
        <w:t>身份证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学历证、从业资格证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劳动合同、社保证明</w:t>
      </w:r>
      <w:r>
        <w:rPr>
          <w:rFonts w:hint="eastAsia" w:ascii="仿宋" w:hAnsi="仿宋" w:eastAsia="仿宋" w:cs="仿宋"/>
          <w:color w:val="auto"/>
          <w:sz w:val="24"/>
          <w:szCs w:val="24"/>
          <w:highlight w:val="none"/>
        </w:rPr>
        <w:t>等证明材料</w:t>
      </w:r>
      <w:r>
        <w:rPr>
          <w:rFonts w:hint="eastAsia" w:ascii="仿宋" w:hAnsi="仿宋" w:eastAsia="仿宋" w:cs="仿宋"/>
          <w:color w:val="auto"/>
          <w:sz w:val="24"/>
          <w:szCs w:val="24"/>
          <w:highlight w:val="none"/>
          <w:lang w:val="en-US" w:eastAsia="zh-CN"/>
        </w:rPr>
        <w:t>。</w:t>
      </w:r>
    </w:p>
    <w:tbl>
      <w:tblPr>
        <w:tblStyle w:val="2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7"/>
        <w:gridCol w:w="2274"/>
        <w:gridCol w:w="546"/>
        <w:gridCol w:w="1187"/>
        <w:gridCol w:w="501"/>
        <w:gridCol w:w="2239"/>
      </w:tblGrid>
      <w:tr w14:paraId="3335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1F701018">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岗位名称</w:t>
            </w:r>
          </w:p>
        </w:tc>
        <w:tc>
          <w:tcPr>
            <w:tcW w:w="6747" w:type="dxa"/>
            <w:gridSpan w:val="5"/>
            <w:noWrap w:val="0"/>
            <w:vAlign w:val="center"/>
          </w:tcPr>
          <w:p w14:paraId="4512EDE6">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0C83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135F1D5B">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姓名</w:t>
            </w:r>
          </w:p>
        </w:tc>
        <w:tc>
          <w:tcPr>
            <w:tcW w:w="2820" w:type="dxa"/>
            <w:gridSpan w:val="2"/>
            <w:noWrap w:val="0"/>
            <w:vAlign w:val="center"/>
          </w:tcPr>
          <w:p w14:paraId="5B80B3B3">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1FC51D4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年龄</w:t>
            </w:r>
          </w:p>
        </w:tc>
        <w:tc>
          <w:tcPr>
            <w:tcW w:w="2740" w:type="dxa"/>
            <w:gridSpan w:val="2"/>
            <w:noWrap w:val="0"/>
            <w:vAlign w:val="center"/>
          </w:tcPr>
          <w:p w14:paraId="3CE2C13F">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4896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7D4412F9">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性别</w:t>
            </w:r>
          </w:p>
        </w:tc>
        <w:tc>
          <w:tcPr>
            <w:tcW w:w="2820" w:type="dxa"/>
            <w:gridSpan w:val="2"/>
            <w:noWrap w:val="0"/>
            <w:vAlign w:val="center"/>
          </w:tcPr>
          <w:p w14:paraId="0879D60D">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78CB61BF">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毕业学校</w:t>
            </w:r>
          </w:p>
        </w:tc>
        <w:tc>
          <w:tcPr>
            <w:tcW w:w="2740" w:type="dxa"/>
            <w:gridSpan w:val="2"/>
            <w:noWrap w:val="0"/>
            <w:vAlign w:val="center"/>
          </w:tcPr>
          <w:p w14:paraId="60CFE6D0">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55B3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92" w:type="dxa"/>
            <w:gridSpan w:val="2"/>
            <w:noWrap w:val="0"/>
            <w:vAlign w:val="center"/>
          </w:tcPr>
          <w:p w14:paraId="6ED7FE35">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学历和专业</w:t>
            </w:r>
          </w:p>
        </w:tc>
        <w:tc>
          <w:tcPr>
            <w:tcW w:w="2820" w:type="dxa"/>
            <w:gridSpan w:val="2"/>
            <w:noWrap w:val="0"/>
            <w:vAlign w:val="center"/>
          </w:tcPr>
          <w:p w14:paraId="43F2FA5D">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7D039397">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毕业时间</w:t>
            </w:r>
          </w:p>
        </w:tc>
        <w:tc>
          <w:tcPr>
            <w:tcW w:w="2740" w:type="dxa"/>
            <w:gridSpan w:val="2"/>
            <w:noWrap w:val="0"/>
            <w:vAlign w:val="center"/>
          </w:tcPr>
          <w:p w14:paraId="53EE233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12A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92" w:type="dxa"/>
            <w:gridSpan w:val="2"/>
            <w:noWrap w:val="0"/>
            <w:vAlign w:val="center"/>
          </w:tcPr>
          <w:p w14:paraId="5263DC41">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拥有的执业资格</w:t>
            </w:r>
          </w:p>
        </w:tc>
        <w:tc>
          <w:tcPr>
            <w:tcW w:w="2820" w:type="dxa"/>
            <w:gridSpan w:val="2"/>
            <w:noWrap w:val="0"/>
            <w:vAlign w:val="center"/>
          </w:tcPr>
          <w:p w14:paraId="18007E7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521F2F07">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专业职称</w:t>
            </w:r>
          </w:p>
        </w:tc>
        <w:tc>
          <w:tcPr>
            <w:tcW w:w="2740" w:type="dxa"/>
            <w:gridSpan w:val="2"/>
            <w:noWrap w:val="0"/>
            <w:vAlign w:val="center"/>
          </w:tcPr>
          <w:p w14:paraId="70C4087B">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0357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92" w:type="dxa"/>
            <w:gridSpan w:val="2"/>
            <w:noWrap w:val="0"/>
            <w:vAlign w:val="center"/>
          </w:tcPr>
          <w:p w14:paraId="18DCAD26">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执业资格证书编号</w:t>
            </w:r>
          </w:p>
        </w:tc>
        <w:tc>
          <w:tcPr>
            <w:tcW w:w="2820" w:type="dxa"/>
            <w:gridSpan w:val="2"/>
            <w:noWrap w:val="0"/>
            <w:vAlign w:val="center"/>
          </w:tcPr>
          <w:p w14:paraId="79FE0B7F">
            <w:pPr>
              <w:spacing w:line="560" w:lineRule="exact"/>
              <w:ind w:firstLine="480" w:firstLineChars="200"/>
              <w:jc w:val="center"/>
              <w:rPr>
                <w:rFonts w:hint="eastAsia" w:ascii="仿宋" w:hAnsi="仿宋" w:eastAsia="仿宋" w:cs="仿宋"/>
                <w:color w:val="auto"/>
                <w:sz w:val="24"/>
                <w:szCs w:val="24"/>
                <w:highlight w:val="none"/>
                <w:lang w:val="en-US" w:eastAsia="zh-CN"/>
              </w:rPr>
            </w:pPr>
          </w:p>
        </w:tc>
        <w:tc>
          <w:tcPr>
            <w:tcW w:w="1187" w:type="dxa"/>
            <w:noWrap w:val="0"/>
            <w:vAlign w:val="center"/>
          </w:tcPr>
          <w:p w14:paraId="27E00EDD">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工作年限</w:t>
            </w:r>
          </w:p>
        </w:tc>
        <w:tc>
          <w:tcPr>
            <w:tcW w:w="2740" w:type="dxa"/>
            <w:gridSpan w:val="2"/>
            <w:noWrap w:val="0"/>
            <w:vAlign w:val="center"/>
          </w:tcPr>
          <w:p w14:paraId="69144FF1">
            <w:pPr>
              <w:spacing w:line="560" w:lineRule="exact"/>
              <w:ind w:firstLine="480" w:firstLineChars="200"/>
              <w:jc w:val="center"/>
              <w:rPr>
                <w:rFonts w:hint="eastAsia" w:ascii="仿宋" w:hAnsi="仿宋" w:eastAsia="仿宋" w:cs="仿宋"/>
                <w:color w:val="auto"/>
                <w:sz w:val="24"/>
                <w:szCs w:val="24"/>
                <w:highlight w:val="none"/>
                <w:lang w:val="en-US" w:eastAsia="zh-CN"/>
              </w:rPr>
            </w:pPr>
          </w:p>
        </w:tc>
      </w:tr>
      <w:tr w14:paraId="6D2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939" w:type="dxa"/>
            <w:gridSpan w:val="7"/>
            <w:noWrap w:val="0"/>
            <w:vAlign w:val="center"/>
          </w:tcPr>
          <w:p w14:paraId="7D35A8D1">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主要工作业绩及担任的主要工作</w:t>
            </w:r>
          </w:p>
        </w:tc>
      </w:tr>
      <w:tr w14:paraId="3D6F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25" w:type="dxa"/>
            <w:noWrap w:val="0"/>
            <w:vAlign w:val="center"/>
          </w:tcPr>
          <w:p w14:paraId="5C59FA6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w:t>
            </w:r>
          </w:p>
        </w:tc>
        <w:tc>
          <w:tcPr>
            <w:tcW w:w="2341" w:type="dxa"/>
            <w:gridSpan w:val="2"/>
            <w:noWrap w:val="0"/>
            <w:vAlign w:val="center"/>
          </w:tcPr>
          <w:p w14:paraId="35A9F98C">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参加过的类似项目名称</w:t>
            </w:r>
          </w:p>
        </w:tc>
        <w:tc>
          <w:tcPr>
            <w:tcW w:w="2234" w:type="dxa"/>
            <w:gridSpan w:val="3"/>
            <w:noWrap w:val="0"/>
            <w:vAlign w:val="center"/>
          </w:tcPr>
          <w:p w14:paraId="47111F6A">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工程概况说明</w:t>
            </w:r>
          </w:p>
        </w:tc>
        <w:tc>
          <w:tcPr>
            <w:tcW w:w="2239" w:type="dxa"/>
            <w:noWrap w:val="0"/>
            <w:vAlign w:val="center"/>
          </w:tcPr>
          <w:p w14:paraId="47C3618C">
            <w:pPr>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发包人及联系电话</w:t>
            </w:r>
          </w:p>
        </w:tc>
      </w:tr>
      <w:tr w14:paraId="52A6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25" w:type="dxa"/>
            <w:noWrap w:val="0"/>
            <w:vAlign w:val="center"/>
          </w:tcPr>
          <w:p w14:paraId="1974C1E5">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6C338FB3">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43BF7571">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16EBF64E">
            <w:pPr>
              <w:spacing w:line="560" w:lineRule="exact"/>
              <w:ind w:firstLine="480" w:firstLineChars="200"/>
              <w:rPr>
                <w:rFonts w:hint="eastAsia" w:ascii="仿宋" w:hAnsi="仿宋" w:eastAsia="仿宋" w:cs="仿宋"/>
                <w:color w:val="auto"/>
                <w:sz w:val="24"/>
                <w:szCs w:val="24"/>
                <w:highlight w:val="none"/>
                <w:lang w:val="en-US" w:eastAsia="zh-CN"/>
              </w:rPr>
            </w:pPr>
          </w:p>
        </w:tc>
      </w:tr>
      <w:tr w14:paraId="633C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25" w:type="dxa"/>
            <w:noWrap w:val="0"/>
            <w:vAlign w:val="center"/>
          </w:tcPr>
          <w:p w14:paraId="066A85E5">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32F4C40C">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0D2DC2AB">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2DD3CFA6">
            <w:pPr>
              <w:spacing w:line="560" w:lineRule="exact"/>
              <w:ind w:firstLine="480" w:firstLineChars="200"/>
              <w:rPr>
                <w:rFonts w:hint="eastAsia" w:ascii="仿宋" w:hAnsi="仿宋" w:eastAsia="仿宋" w:cs="仿宋"/>
                <w:color w:val="auto"/>
                <w:sz w:val="24"/>
                <w:szCs w:val="24"/>
                <w:highlight w:val="none"/>
                <w:lang w:val="en-US" w:eastAsia="zh-CN"/>
              </w:rPr>
            </w:pPr>
          </w:p>
        </w:tc>
      </w:tr>
      <w:tr w14:paraId="649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25" w:type="dxa"/>
            <w:noWrap w:val="0"/>
            <w:vAlign w:val="center"/>
          </w:tcPr>
          <w:p w14:paraId="24F90748">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341" w:type="dxa"/>
            <w:gridSpan w:val="2"/>
            <w:noWrap w:val="0"/>
            <w:vAlign w:val="center"/>
          </w:tcPr>
          <w:p w14:paraId="403CF0FE">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4" w:type="dxa"/>
            <w:gridSpan w:val="3"/>
            <w:noWrap w:val="0"/>
            <w:vAlign w:val="center"/>
          </w:tcPr>
          <w:p w14:paraId="20AC2E81">
            <w:pPr>
              <w:spacing w:line="560" w:lineRule="exact"/>
              <w:ind w:firstLine="480" w:firstLineChars="200"/>
              <w:rPr>
                <w:rFonts w:hint="eastAsia" w:ascii="仿宋" w:hAnsi="仿宋" w:eastAsia="仿宋" w:cs="仿宋"/>
                <w:color w:val="auto"/>
                <w:sz w:val="24"/>
                <w:szCs w:val="24"/>
                <w:highlight w:val="none"/>
                <w:lang w:val="en-US" w:eastAsia="zh-CN"/>
              </w:rPr>
            </w:pPr>
          </w:p>
        </w:tc>
        <w:tc>
          <w:tcPr>
            <w:tcW w:w="2239" w:type="dxa"/>
            <w:noWrap w:val="0"/>
            <w:vAlign w:val="center"/>
          </w:tcPr>
          <w:p w14:paraId="42171071">
            <w:pPr>
              <w:spacing w:line="560" w:lineRule="exact"/>
              <w:ind w:firstLine="480" w:firstLineChars="200"/>
              <w:rPr>
                <w:rFonts w:hint="eastAsia" w:ascii="仿宋" w:hAnsi="仿宋" w:eastAsia="仿宋" w:cs="仿宋"/>
                <w:color w:val="auto"/>
                <w:sz w:val="24"/>
                <w:szCs w:val="24"/>
                <w:highlight w:val="none"/>
                <w:lang w:val="en-US" w:eastAsia="zh-CN"/>
              </w:rPr>
            </w:pPr>
          </w:p>
        </w:tc>
      </w:tr>
    </w:tbl>
    <w:p w14:paraId="15436E8D">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注：本格式仅供参考，投标人可自行增减表格内容。</w:t>
      </w:r>
    </w:p>
    <w:p w14:paraId="236B3402">
      <w:pPr>
        <w:pStyle w:val="14"/>
        <w:rPr>
          <w:rFonts w:hint="eastAsia"/>
          <w:lang w:val="en-US" w:eastAsia="zh-CN"/>
        </w:rPr>
      </w:pPr>
    </w:p>
    <w:p w14:paraId="22CDB45D">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pPr>
    </w:p>
    <w:p w14:paraId="559140D7">
      <w:pPr>
        <w:keepNext/>
        <w:keepLines/>
        <w:numPr>
          <w:ilvl w:val="0"/>
          <w:numId w:val="0"/>
        </w:numPr>
        <w:spacing w:line="560" w:lineRule="exact"/>
        <w:jc w:val="both"/>
        <w:outlineLvl w:val="3"/>
        <w:rPr>
          <w:rFonts w:hint="eastAsia" w:ascii="仿宋" w:hAnsi="仿宋" w:eastAsia="仿宋" w:cs="仿宋"/>
          <w:b w:val="0"/>
          <w:bCs w:val="0"/>
          <w:color w:val="auto"/>
          <w:kern w:val="0"/>
          <w:sz w:val="24"/>
          <w:szCs w:val="24"/>
          <w:highlight w:val="none"/>
          <w:lang w:val="en-US" w:eastAsia="zh-CN"/>
        </w:rPr>
        <w:sectPr>
          <w:pgSz w:w="11905" w:h="16838"/>
          <w:pgMar w:top="1134" w:right="1134" w:bottom="1134" w:left="1134" w:header="850" w:footer="992" w:gutter="0"/>
          <w:pgNumType w:fmt="decimal"/>
          <w:cols w:space="0" w:num="1"/>
          <w:rtlGutter w:val="0"/>
          <w:docGrid w:type="lines" w:linePitch="321" w:charSpace="0"/>
        </w:sectPr>
      </w:pPr>
    </w:p>
    <w:p w14:paraId="4C84A38E">
      <w:pPr>
        <w:numPr>
          <w:ilvl w:val="0"/>
          <w:numId w:val="7"/>
        </w:num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46" w:name="_Toc146"/>
      <w:bookmarkStart w:id="647" w:name="_Toc17416"/>
      <w:bookmarkStart w:id="648" w:name="_Toc29127"/>
      <w:bookmarkStart w:id="649" w:name="_Toc13920"/>
      <w:bookmarkStart w:id="650" w:name="_Toc10215"/>
      <w:bookmarkStart w:id="651" w:name="_Toc8526"/>
      <w:bookmarkStart w:id="652" w:name="_Toc514682764"/>
      <w:bookmarkStart w:id="653" w:name="_Toc512678462"/>
      <w:r>
        <w:rPr>
          <w:rFonts w:hint="eastAsia" w:ascii="仿宋" w:hAnsi="仿宋" w:eastAsia="仿宋" w:cs="仿宋"/>
          <w:b/>
          <w:color w:val="auto"/>
          <w:sz w:val="30"/>
          <w:szCs w:val="30"/>
          <w:highlight w:val="none"/>
          <w:lang w:val="zh-CN"/>
        </w:rPr>
        <w:t>近年类似项目情况表</w:t>
      </w:r>
      <w:bookmarkEnd w:id="646"/>
    </w:p>
    <w:tbl>
      <w:tblPr>
        <w:tblStyle w:val="27"/>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9"/>
        <w:gridCol w:w="6784"/>
      </w:tblGrid>
      <w:tr w14:paraId="68A4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bottom w:val="single" w:color="000000" w:sz="6" w:space="0"/>
              <w:right w:val="single" w:color="000000" w:sz="6" w:space="0"/>
            </w:tcBorders>
            <w:noWrap w:val="0"/>
            <w:vAlign w:val="top"/>
          </w:tcPr>
          <w:p w14:paraId="5D9CAAE2">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84" w:type="dxa"/>
            <w:tcBorders>
              <w:left w:val="single" w:color="000000" w:sz="6" w:space="0"/>
              <w:bottom w:val="single" w:color="000000" w:sz="6" w:space="0"/>
            </w:tcBorders>
            <w:noWrap w:val="0"/>
            <w:vAlign w:val="top"/>
          </w:tcPr>
          <w:p w14:paraId="74DB8ED9">
            <w:pPr>
              <w:pStyle w:val="50"/>
              <w:spacing w:line="360" w:lineRule="auto"/>
              <w:rPr>
                <w:rFonts w:hint="eastAsia" w:ascii="仿宋" w:hAnsi="仿宋" w:eastAsia="仿宋" w:cs="仿宋"/>
                <w:color w:val="auto"/>
                <w:sz w:val="24"/>
                <w:szCs w:val="24"/>
                <w:highlight w:val="none"/>
              </w:rPr>
            </w:pPr>
          </w:p>
        </w:tc>
      </w:tr>
      <w:tr w14:paraId="1E02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55E2695D">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784" w:type="dxa"/>
            <w:tcBorders>
              <w:top w:val="single" w:color="000000" w:sz="6" w:space="0"/>
              <w:left w:val="single" w:color="000000" w:sz="6" w:space="0"/>
              <w:bottom w:val="single" w:color="000000" w:sz="6" w:space="0"/>
            </w:tcBorders>
            <w:noWrap w:val="0"/>
            <w:vAlign w:val="top"/>
          </w:tcPr>
          <w:p w14:paraId="228D4960">
            <w:pPr>
              <w:pStyle w:val="50"/>
              <w:spacing w:line="360" w:lineRule="auto"/>
              <w:rPr>
                <w:rFonts w:hint="eastAsia" w:ascii="仿宋" w:hAnsi="仿宋" w:eastAsia="仿宋" w:cs="仿宋"/>
                <w:color w:val="auto"/>
                <w:sz w:val="24"/>
                <w:szCs w:val="24"/>
                <w:highlight w:val="none"/>
              </w:rPr>
            </w:pPr>
          </w:p>
        </w:tc>
      </w:tr>
      <w:tr w14:paraId="3039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2DBAFB81">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784" w:type="dxa"/>
            <w:tcBorders>
              <w:top w:val="single" w:color="000000" w:sz="6" w:space="0"/>
              <w:left w:val="single" w:color="000000" w:sz="6" w:space="0"/>
              <w:bottom w:val="single" w:color="000000" w:sz="6" w:space="0"/>
            </w:tcBorders>
            <w:noWrap w:val="0"/>
            <w:vAlign w:val="top"/>
          </w:tcPr>
          <w:p w14:paraId="5DDA061C">
            <w:pPr>
              <w:pStyle w:val="50"/>
              <w:spacing w:line="360" w:lineRule="auto"/>
              <w:rPr>
                <w:rFonts w:hint="eastAsia" w:ascii="仿宋" w:hAnsi="仿宋" w:eastAsia="仿宋" w:cs="仿宋"/>
                <w:color w:val="auto"/>
                <w:sz w:val="24"/>
                <w:szCs w:val="24"/>
                <w:highlight w:val="none"/>
              </w:rPr>
            </w:pPr>
          </w:p>
        </w:tc>
      </w:tr>
      <w:tr w14:paraId="5E92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77673226">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发包人名称</w:t>
            </w:r>
          </w:p>
        </w:tc>
        <w:tc>
          <w:tcPr>
            <w:tcW w:w="6784" w:type="dxa"/>
            <w:tcBorders>
              <w:top w:val="single" w:color="000000" w:sz="6" w:space="0"/>
              <w:left w:val="single" w:color="000000" w:sz="6" w:space="0"/>
              <w:bottom w:val="single" w:color="000000" w:sz="6" w:space="0"/>
            </w:tcBorders>
            <w:noWrap w:val="0"/>
            <w:vAlign w:val="top"/>
          </w:tcPr>
          <w:p w14:paraId="244716CC">
            <w:pPr>
              <w:pStyle w:val="50"/>
              <w:spacing w:line="360" w:lineRule="auto"/>
              <w:rPr>
                <w:rFonts w:hint="eastAsia" w:ascii="仿宋" w:hAnsi="仿宋" w:eastAsia="仿宋" w:cs="仿宋"/>
                <w:color w:val="auto"/>
                <w:sz w:val="24"/>
                <w:szCs w:val="24"/>
                <w:highlight w:val="none"/>
              </w:rPr>
            </w:pPr>
          </w:p>
        </w:tc>
      </w:tr>
      <w:tr w14:paraId="0FF09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3E7DABDE">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发包人地址</w:t>
            </w:r>
          </w:p>
        </w:tc>
        <w:tc>
          <w:tcPr>
            <w:tcW w:w="6784" w:type="dxa"/>
            <w:tcBorders>
              <w:top w:val="single" w:color="000000" w:sz="6" w:space="0"/>
              <w:left w:val="single" w:color="000000" w:sz="6" w:space="0"/>
              <w:bottom w:val="single" w:color="000000" w:sz="6" w:space="0"/>
            </w:tcBorders>
            <w:noWrap w:val="0"/>
            <w:vAlign w:val="top"/>
          </w:tcPr>
          <w:p w14:paraId="77E5B470">
            <w:pPr>
              <w:pStyle w:val="50"/>
              <w:spacing w:line="360" w:lineRule="auto"/>
              <w:rPr>
                <w:rFonts w:hint="eastAsia" w:ascii="仿宋" w:hAnsi="仿宋" w:eastAsia="仿宋" w:cs="仿宋"/>
                <w:color w:val="auto"/>
                <w:sz w:val="24"/>
                <w:szCs w:val="24"/>
                <w:highlight w:val="none"/>
              </w:rPr>
            </w:pPr>
          </w:p>
        </w:tc>
      </w:tr>
      <w:tr w14:paraId="5C66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06A81045">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发包人电话</w:t>
            </w:r>
          </w:p>
        </w:tc>
        <w:tc>
          <w:tcPr>
            <w:tcW w:w="6784" w:type="dxa"/>
            <w:tcBorders>
              <w:top w:val="single" w:color="000000" w:sz="6" w:space="0"/>
              <w:left w:val="single" w:color="000000" w:sz="6" w:space="0"/>
              <w:bottom w:val="single" w:color="000000" w:sz="6" w:space="0"/>
            </w:tcBorders>
            <w:noWrap w:val="0"/>
            <w:vAlign w:val="top"/>
          </w:tcPr>
          <w:p w14:paraId="415CBB9E">
            <w:pPr>
              <w:pStyle w:val="50"/>
              <w:spacing w:line="360" w:lineRule="auto"/>
              <w:rPr>
                <w:rFonts w:hint="eastAsia" w:ascii="仿宋" w:hAnsi="仿宋" w:eastAsia="仿宋" w:cs="仿宋"/>
                <w:color w:val="auto"/>
                <w:sz w:val="24"/>
                <w:szCs w:val="24"/>
                <w:highlight w:val="none"/>
              </w:rPr>
            </w:pPr>
          </w:p>
        </w:tc>
      </w:tr>
      <w:tr w14:paraId="08AB1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1D675529">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784" w:type="dxa"/>
            <w:tcBorders>
              <w:top w:val="single" w:color="000000" w:sz="6" w:space="0"/>
              <w:left w:val="single" w:color="000000" w:sz="6" w:space="0"/>
              <w:bottom w:val="single" w:color="000000" w:sz="6" w:space="0"/>
            </w:tcBorders>
            <w:noWrap w:val="0"/>
            <w:vAlign w:val="top"/>
          </w:tcPr>
          <w:p w14:paraId="543401AB">
            <w:pPr>
              <w:pStyle w:val="50"/>
              <w:spacing w:line="360" w:lineRule="auto"/>
              <w:rPr>
                <w:rFonts w:hint="eastAsia" w:ascii="仿宋" w:hAnsi="仿宋" w:eastAsia="仿宋" w:cs="仿宋"/>
                <w:color w:val="auto"/>
                <w:sz w:val="24"/>
                <w:szCs w:val="24"/>
                <w:highlight w:val="none"/>
              </w:rPr>
            </w:pPr>
          </w:p>
        </w:tc>
      </w:tr>
      <w:tr w14:paraId="1D13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759C11A4">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6784" w:type="dxa"/>
            <w:tcBorders>
              <w:top w:val="single" w:color="000000" w:sz="6" w:space="0"/>
              <w:left w:val="single" w:color="000000" w:sz="6" w:space="0"/>
              <w:bottom w:val="single" w:color="000000" w:sz="6" w:space="0"/>
            </w:tcBorders>
            <w:noWrap w:val="0"/>
            <w:vAlign w:val="top"/>
          </w:tcPr>
          <w:p w14:paraId="74029D0D">
            <w:pPr>
              <w:pStyle w:val="50"/>
              <w:spacing w:line="360" w:lineRule="auto"/>
              <w:rPr>
                <w:rFonts w:hint="eastAsia" w:ascii="仿宋" w:hAnsi="仿宋" w:eastAsia="仿宋" w:cs="仿宋"/>
                <w:color w:val="auto"/>
                <w:sz w:val="24"/>
                <w:szCs w:val="24"/>
                <w:highlight w:val="none"/>
              </w:rPr>
            </w:pPr>
          </w:p>
        </w:tc>
      </w:tr>
      <w:tr w14:paraId="1A91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24BA06A9">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交工日期</w:t>
            </w:r>
          </w:p>
        </w:tc>
        <w:tc>
          <w:tcPr>
            <w:tcW w:w="6784" w:type="dxa"/>
            <w:tcBorders>
              <w:top w:val="single" w:color="000000" w:sz="6" w:space="0"/>
              <w:left w:val="single" w:color="000000" w:sz="6" w:space="0"/>
              <w:bottom w:val="single" w:color="000000" w:sz="6" w:space="0"/>
            </w:tcBorders>
            <w:noWrap w:val="0"/>
            <w:vAlign w:val="top"/>
          </w:tcPr>
          <w:p w14:paraId="154DBBBE">
            <w:pPr>
              <w:pStyle w:val="50"/>
              <w:spacing w:line="360" w:lineRule="auto"/>
              <w:rPr>
                <w:rFonts w:hint="eastAsia" w:ascii="仿宋" w:hAnsi="仿宋" w:eastAsia="仿宋" w:cs="仿宋"/>
                <w:color w:val="auto"/>
                <w:sz w:val="24"/>
                <w:szCs w:val="24"/>
                <w:highlight w:val="none"/>
              </w:rPr>
            </w:pPr>
          </w:p>
        </w:tc>
      </w:tr>
      <w:tr w14:paraId="0E35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645DF0D3">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承担的工作</w:t>
            </w:r>
          </w:p>
        </w:tc>
        <w:tc>
          <w:tcPr>
            <w:tcW w:w="6784" w:type="dxa"/>
            <w:tcBorders>
              <w:top w:val="single" w:color="000000" w:sz="6" w:space="0"/>
              <w:left w:val="single" w:color="000000" w:sz="6" w:space="0"/>
              <w:bottom w:val="single" w:color="000000" w:sz="6" w:space="0"/>
            </w:tcBorders>
            <w:noWrap w:val="0"/>
            <w:vAlign w:val="top"/>
          </w:tcPr>
          <w:p w14:paraId="718AF896">
            <w:pPr>
              <w:pStyle w:val="50"/>
              <w:spacing w:line="360" w:lineRule="auto"/>
              <w:rPr>
                <w:rFonts w:hint="eastAsia" w:ascii="仿宋" w:hAnsi="仿宋" w:eastAsia="仿宋" w:cs="仿宋"/>
                <w:color w:val="auto"/>
                <w:sz w:val="24"/>
                <w:szCs w:val="24"/>
                <w:highlight w:val="none"/>
              </w:rPr>
            </w:pPr>
          </w:p>
        </w:tc>
      </w:tr>
      <w:tr w14:paraId="1EC4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459" w:type="dxa"/>
            <w:tcBorders>
              <w:top w:val="single" w:color="000000" w:sz="6" w:space="0"/>
              <w:bottom w:val="single" w:color="000000" w:sz="6" w:space="0"/>
              <w:right w:val="single" w:color="000000" w:sz="6" w:space="0"/>
            </w:tcBorders>
            <w:noWrap w:val="0"/>
            <w:vAlign w:val="top"/>
          </w:tcPr>
          <w:p w14:paraId="2B7B7332">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w:t>
            </w:r>
          </w:p>
        </w:tc>
        <w:tc>
          <w:tcPr>
            <w:tcW w:w="6784" w:type="dxa"/>
            <w:tcBorders>
              <w:top w:val="single" w:color="000000" w:sz="6" w:space="0"/>
              <w:left w:val="single" w:color="000000" w:sz="6" w:space="0"/>
              <w:bottom w:val="single" w:color="000000" w:sz="6" w:space="0"/>
            </w:tcBorders>
            <w:noWrap w:val="0"/>
            <w:vAlign w:val="top"/>
          </w:tcPr>
          <w:p w14:paraId="07DA344B">
            <w:pPr>
              <w:pStyle w:val="50"/>
              <w:spacing w:line="360" w:lineRule="auto"/>
              <w:rPr>
                <w:rFonts w:hint="eastAsia" w:ascii="仿宋" w:hAnsi="仿宋" w:eastAsia="仿宋" w:cs="仿宋"/>
                <w:color w:val="auto"/>
                <w:sz w:val="24"/>
                <w:szCs w:val="24"/>
                <w:highlight w:val="none"/>
              </w:rPr>
            </w:pPr>
          </w:p>
        </w:tc>
      </w:tr>
      <w:tr w14:paraId="08AD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01B5D033">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784" w:type="dxa"/>
            <w:tcBorders>
              <w:top w:val="single" w:color="000000" w:sz="6" w:space="0"/>
              <w:left w:val="single" w:color="000000" w:sz="6" w:space="0"/>
              <w:bottom w:val="single" w:color="000000" w:sz="6" w:space="0"/>
            </w:tcBorders>
            <w:noWrap w:val="0"/>
            <w:vAlign w:val="top"/>
          </w:tcPr>
          <w:p w14:paraId="7C02354E">
            <w:pPr>
              <w:pStyle w:val="50"/>
              <w:spacing w:line="360" w:lineRule="auto"/>
              <w:rPr>
                <w:rFonts w:hint="eastAsia" w:ascii="仿宋" w:hAnsi="仿宋" w:eastAsia="仿宋" w:cs="仿宋"/>
                <w:color w:val="auto"/>
                <w:sz w:val="24"/>
                <w:szCs w:val="24"/>
                <w:highlight w:val="none"/>
              </w:rPr>
            </w:pPr>
          </w:p>
        </w:tc>
      </w:tr>
      <w:tr w14:paraId="5402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459" w:type="dxa"/>
            <w:tcBorders>
              <w:top w:val="single" w:color="000000" w:sz="6" w:space="0"/>
              <w:bottom w:val="single" w:color="000000" w:sz="6" w:space="0"/>
              <w:right w:val="single" w:color="000000" w:sz="6" w:space="0"/>
            </w:tcBorders>
            <w:noWrap w:val="0"/>
            <w:vAlign w:val="top"/>
          </w:tcPr>
          <w:p w14:paraId="136804CE">
            <w:pPr>
              <w:pStyle w:val="50"/>
              <w:spacing w:before="173"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项目总工</w:t>
            </w:r>
          </w:p>
        </w:tc>
        <w:tc>
          <w:tcPr>
            <w:tcW w:w="6784" w:type="dxa"/>
            <w:tcBorders>
              <w:top w:val="single" w:color="000000" w:sz="6" w:space="0"/>
              <w:left w:val="single" w:color="000000" w:sz="6" w:space="0"/>
              <w:bottom w:val="single" w:color="000000" w:sz="6" w:space="0"/>
            </w:tcBorders>
            <w:noWrap w:val="0"/>
            <w:vAlign w:val="top"/>
          </w:tcPr>
          <w:p w14:paraId="7D447858">
            <w:pPr>
              <w:pStyle w:val="50"/>
              <w:spacing w:line="360" w:lineRule="auto"/>
              <w:rPr>
                <w:rFonts w:hint="eastAsia" w:ascii="仿宋" w:hAnsi="仿宋" w:eastAsia="仿宋" w:cs="仿宋"/>
                <w:color w:val="auto"/>
                <w:sz w:val="24"/>
                <w:szCs w:val="24"/>
                <w:highlight w:val="none"/>
              </w:rPr>
            </w:pPr>
          </w:p>
        </w:tc>
      </w:tr>
      <w:tr w14:paraId="73CA0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2459" w:type="dxa"/>
            <w:tcBorders>
              <w:top w:val="single" w:color="000000" w:sz="6" w:space="0"/>
              <w:bottom w:val="single" w:color="000000" w:sz="6" w:space="0"/>
              <w:right w:val="single" w:color="000000" w:sz="6" w:space="0"/>
            </w:tcBorders>
            <w:noWrap w:val="0"/>
            <w:vAlign w:val="top"/>
          </w:tcPr>
          <w:p w14:paraId="33252147">
            <w:pPr>
              <w:bidi w:val="0"/>
              <w:jc w:val="center"/>
              <w:rPr>
                <w:rFonts w:hint="eastAsia" w:ascii="仿宋" w:hAnsi="仿宋" w:eastAsia="仿宋" w:cs="仿宋"/>
                <w:color w:val="auto"/>
                <w:sz w:val="24"/>
                <w:szCs w:val="24"/>
                <w:highlight w:val="none"/>
              </w:rPr>
            </w:pPr>
          </w:p>
          <w:p w14:paraId="3529C2B1">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总监理工程师及电话</w:t>
            </w:r>
          </w:p>
        </w:tc>
        <w:tc>
          <w:tcPr>
            <w:tcW w:w="6784" w:type="dxa"/>
            <w:tcBorders>
              <w:top w:val="single" w:color="000000" w:sz="6" w:space="0"/>
              <w:left w:val="single" w:color="000000" w:sz="6" w:space="0"/>
              <w:bottom w:val="single" w:color="000000" w:sz="6" w:space="0"/>
            </w:tcBorders>
            <w:noWrap w:val="0"/>
            <w:vAlign w:val="top"/>
          </w:tcPr>
          <w:p w14:paraId="5806410E">
            <w:pPr>
              <w:bidi w:val="0"/>
              <w:jc w:val="center"/>
              <w:rPr>
                <w:rFonts w:hint="eastAsia" w:ascii="仿宋" w:hAnsi="仿宋" w:eastAsia="仿宋" w:cs="仿宋"/>
                <w:color w:val="auto"/>
                <w:sz w:val="24"/>
                <w:szCs w:val="24"/>
                <w:highlight w:val="none"/>
              </w:rPr>
            </w:pPr>
          </w:p>
        </w:tc>
      </w:tr>
      <w:tr w14:paraId="1A0B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jc w:val="center"/>
        </w:trPr>
        <w:tc>
          <w:tcPr>
            <w:tcW w:w="2459" w:type="dxa"/>
            <w:tcBorders>
              <w:top w:val="single" w:color="000000" w:sz="6" w:space="0"/>
              <w:bottom w:val="single" w:color="000000" w:sz="6" w:space="0"/>
              <w:right w:val="single" w:color="000000" w:sz="6" w:space="0"/>
            </w:tcBorders>
            <w:noWrap w:val="0"/>
            <w:vAlign w:val="top"/>
          </w:tcPr>
          <w:p w14:paraId="497ECFFD">
            <w:pPr>
              <w:pStyle w:val="50"/>
              <w:spacing w:before="1" w:line="360" w:lineRule="auto"/>
              <w:jc w:val="center"/>
              <w:rPr>
                <w:rFonts w:hint="eastAsia" w:ascii="仿宋" w:hAnsi="仿宋" w:eastAsia="仿宋" w:cs="仿宋"/>
                <w:b/>
                <w:color w:val="auto"/>
                <w:sz w:val="24"/>
                <w:szCs w:val="24"/>
                <w:highlight w:val="none"/>
              </w:rPr>
            </w:pPr>
          </w:p>
          <w:p w14:paraId="2F5D3517">
            <w:pPr>
              <w:pStyle w:val="50"/>
              <w:spacing w:line="360" w:lineRule="auto"/>
              <w:ind w:left="460"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784" w:type="dxa"/>
            <w:tcBorders>
              <w:top w:val="single" w:color="000000" w:sz="6" w:space="0"/>
              <w:left w:val="single" w:color="000000" w:sz="6" w:space="0"/>
              <w:bottom w:val="single" w:color="000000" w:sz="6" w:space="0"/>
            </w:tcBorders>
            <w:noWrap w:val="0"/>
            <w:vAlign w:val="top"/>
          </w:tcPr>
          <w:p w14:paraId="6B7AB294">
            <w:pPr>
              <w:pStyle w:val="50"/>
              <w:spacing w:line="360" w:lineRule="auto"/>
              <w:rPr>
                <w:rFonts w:hint="eastAsia" w:ascii="仿宋" w:hAnsi="仿宋" w:eastAsia="仿宋" w:cs="仿宋"/>
                <w:color w:val="auto"/>
                <w:sz w:val="24"/>
                <w:szCs w:val="24"/>
                <w:highlight w:val="none"/>
              </w:rPr>
            </w:pPr>
          </w:p>
        </w:tc>
      </w:tr>
      <w:tr w14:paraId="20A86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459" w:type="dxa"/>
            <w:tcBorders>
              <w:top w:val="single" w:color="000000" w:sz="6" w:space="0"/>
              <w:right w:val="single" w:color="000000" w:sz="6" w:space="0"/>
            </w:tcBorders>
            <w:noWrap w:val="0"/>
            <w:vAlign w:val="top"/>
          </w:tcPr>
          <w:p w14:paraId="49766388">
            <w:pPr>
              <w:pStyle w:val="50"/>
              <w:spacing w:before="1" w:line="360" w:lineRule="auto"/>
              <w:ind w:right="4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784" w:type="dxa"/>
            <w:tcBorders>
              <w:top w:val="single" w:color="000000" w:sz="6" w:space="0"/>
              <w:left w:val="single" w:color="000000" w:sz="6" w:space="0"/>
            </w:tcBorders>
            <w:noWrap w:val="0"/>
            <w:vAlign w:val="top"/>
          </w:tcPr>
          <w:p w14:paraId="42B036E3">
            <w:pPr>
              <w:pStyle w:val="50"/>
              <w:spacing w:line="360" w:lineRule="auto"/>
              <w:rPr>
                <w:rFonts w:hint="eastAsia" w:ascii="仿宋" w:hAnsi="仿宋" w:eastAsia="仿宋" w:cs="仿宋"/>
                <w:color w:val="auto"/>
                <w:sz w:val="24"/>
                <w:szCs w:val="24"/>
                <w:highlight w:val="none"/>
              </w:rPr>
            </w:pPr>
          </w:p>
        </w:tc>
      </w:tr>
    </w:tbl>
    <w:p w14:paraId="45CEC6ED">
      <w:pPr>
        <w:spacing w:line="5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注：后附</w:t>
      </w:r>
      <w:r>
        <w:rPr>
          <w:rFonts w:hint="eastAsia" w:ascii="仿宋" w:hAnsi="仿宋" w:eastAsia="仿宋" w:cs="仿宋"/>
          <w:color w:val="auto"/>
          <w:szCs w:val="21"/>
          <w:highlight w:val="none"/>
          <w:lang w:val="en-US" w:eastAsia="zh-CN"/>
        </w:rPr>
        <w:t>业绩证明</w:t>
      </w:r>
      <w:r>
        <w:rPr>
          <w:rFonts w:hint="eastAsia" w:ascii="仿宋" w:hAnsi="仿宋" w:eastAsia="仿宋" w:cs="仿宋"/>
          <w:color w:val="auto"/>
          <w:szCs w:val="21"/>
          <w:highlight w:val="none"/>
          <w:lang w:eastAsia="zh-CN"/>
        </w:rPr>
        <w:t>资料等。</w:t>
      </w:r>
    </w:p>
    <w:p w14:paraId="18FAA5A3">
      <w:pPr>
        <w:numPr>
          <w:ilvl w:val="0"/>
          <w:numId w:val="0"/>
        </w:numPr>
        <w:autoSpaceDE w:val="0"/>
        <w:autoSpaceDN w:val="0"/>
        <w:adjustRightInd w:val="0"/>
        <w:snapToGrid w:val="0"/>
        <w:spacing w:line="360" w:lineRule="auto"/>
        <w:jc w:val="both"/>
        <w:outlineLvl w:val="1"/>
        <w:rPr>
          <w:rFonts w:hint="eastAsia" w:ascii="仿宋" w:hAnsi="仿宋" w:eastAsia="仿宋" w:cs="仿宋"/>
          <w:b/>
          <w:color w:val="auto"/>
          <w:sz w:val="30"/>
          <w:szCs w:val="30"/>
          <w:highlight w:val="none"/>
          <w:lang w:val="zh-CN"/>
        </w:rPr>
      </w:pPr>
    </w:p>
    <w:p w14:paraId="2FB5BF48">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C9FCA1D">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eastAsia="zh-CN"/>
        </w:rPr>
      </w:pPr>
      <w:bookmarkStart w:id="654" w:name="_Toc1297"/>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val="zh-CN"/>
        </w:rPr>
        <w:t>、</w:t>
      </w:r>
      <w:r>
        <w:rPr>
          <w:rFonts w:hint="eastAsia" w:ascii="仿宋" w:hAnsi="仿宋" w:eastAsia="仿宋" w:cs="仿宋"/>
          <w:b/>
          <w:color w:val="auto"/>
          <w:sz w:val="30"/>
          <w:szCs w:val="30"/>
          <w:highlight w:val="none"/>
          <w:lang w:val="en-US" w:eastAsia="zh-CN"/>
        </w:rPr>
        <w:t>服务承诺</w:t>
      </w:r>
      <w:bookmarkEnd w:id="654"/>
    </w:p>
    <w:p w14:paraId="5412E62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F482C88">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320A852">
      <w:pPr>
        <w:autoSpaceDE w:val="0"/>
        <w:autoSpaceDN w:val="0"/>
        <w:adjustRightInd w:val="0"/>
        <w:snapToGrid w:val="0"/>
        <w:spacing w:line="360" w:lineRule="auto"/>
        <w:jc w:val="center"/>
        <w:outlineLvl w:val="1"/>
        <w:rPr>
          <w:rFonts w:hint="default" w:ascii="仿宋" w:hAnsi="仿宋" w:eastAsia="仿宋" w:cs="仿宋"/>
          <w:b w:val="0"/>
          <w:bCs/>
          <w:color w:val="auto"/>
          <w:sz w:val="24"/>
          <w:szCs w:val="24"/>
          <w:highlight w:val="none"/>
          <w:lang w:val="en-US" w:eastAsia="zh-CN"/>
        </w:rPr>
      </w:pPr>
      <w:bookmarkStart w:id="655" w:name="_Toc240"/>
      <w:r>
        <w:rPr>
          <w:rFonts w:hint="eastAsia" w:ascii="仿宋" w:hAnsi="仿宋" w:eastAsia="仿宋" w:cs="仿宋"/>
          <w:b w:val="0"/>
          <w:bCs/>
          <w:color w:val="auto"/>
          <w:sz w:val="24"/>
          <w:szCs w:val="24"/>
          <w:highlight w:val="none"/>
          <w:lang w:val="en-US" w:eastAsia="zh-CN"/>
        </w:rPr>
        <w:t>结合磋商办法，自行编制。</w:t>
      </w:r>
      <w:bookmarkEnd w:id="655"/>
    </w:p>
    <w:p w14:paraId="28B08B59">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E980F9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BB7996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75E066BB">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E334D04">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4511FF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2382776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0D4F6E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BCCC76F">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F48FB17">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6F3B0580">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1FFD7C1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16ABAD3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3ACCB8A">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45BFE59">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0BAC6CF2">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9E0889C">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000A36C6">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4D8C2B4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53EF4A71">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en-US" w:eastAsia="zh-CN"/>
        </w:rPr>
      </w:pPr>
    </w:p>
    <w:p w14:paraId="32D348C5">
      <w:pPr>
        <w:autoSpaceDE w:val="0"/>
        <w:autoSpaceDN w:val="0"/>
        <w:adjustRightInd w:val="0"/>
        <w:snapToGrid w:val="0"/>
        <w:spacing w:line="360" w:lineRule="auto"/>
        <w:jc w:val="center"/>
        <w:outlineLvl w:val="1"/>
        <w:rPr>
          <w:rFonts w:hint="eastAsia" w:ascii="仿宋" w:hAnsi="仿宋" w:eastAsia="仿宋" w:cs="仿宋"/>
          <w:b/>
          <w:color w:val="auto"/>
          <w:sz w:val="30"/>
          <w:szCs w:val="30"/>
          <w:highlight w:val="none"/>
          <w:lang w:val="zh-CN"/>
        </w:rPr>
      </w:pPr>
      <w:bookmarkStart w:id="656" w:name="_Toc1460"/>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val="zh-CN"/>
        </w:rPr>
        <w:t>、</w:t>
      </w:r>
      <w:bookmarkEnd w:id="647"/>
      <w:bookmarkEnd w:id="648"/>
      <w:bookmarkEnd w:id="649"/>
      <w:r>
        <w:rPr>
          <w:rFonts w:hint="eastAsia" w:ascii="仿宋" w:hAnsi="仿宋" w:eastAsia="仿宋" w:cs="仿宋"/>
          <w:b/>
          <w:color w:val="auto"/>
          <w:sz w:val="30"/>
          <w:szCs w:val="30"/>
          <w:highlight w:val="none"/>
          <w:lang w:val="zh-CN"/>
        </w:rPr>
        <w:t>供应商认为与本次项目有关的其他材料</w:t>
      </w:r>
      <w:bookmarkEnd w:id="650"/>
      <w:bookmarkEnd w:id="651"/>
      <w:bookmarkEnd w:id="656"/>
    </w:p>
    <w:p w14:paraId="7AF7A785">
      <w:pPr>
        <w:snapToGrid w:val="0"/>
        <w:spacing w:line="360" w:lineRule="auto"/>
        <w:jc w:val="center"/>
        <w:rPr>
          <w:rFonts w:hint="eastAsia" w:ascii="仿宋" w:hAnsi="仿宋" w:eastAsia="仿宋" w:cs="仿宋"/>
          <w:color w:val="auto"/>
          <w:highlight w:val="none"/>
        </w:rPr>
      </w:pPr>
    </w:p>
    <w:p w14:paraId="5B0288BB">
      <w:pPr>
        <w:pStyle w:val="4"/>
        <w:rPr>
          <w:rFonts w:hint="eastAsia" w:ascii="仿宋" w:hAnsi="仿宋" w:eastAsia="仿宋" w:cs="仿宋"/>
          <w:color w:val="auto"/>
          <w:highlight w:val="none"/>
        </w:rPr>
      </w:pPr>
    </w:p>
    <w:p w14:paraId="2511383B">
      <w:pPr>
        <w:pStyle w:val="7"/>
        <w:rPr>
          <w:rFonts w:hint="eastAsia" w:ascii="仿宋" w:hAnsi="仿宋" w:eastAsia="仿宋" w:cs="仿宋"/>
          <w:color w:val="auto"/>
          <w:highlight w:val="none"/>
        </w:rPr>
      </w:pPr>
    </w:p>
    <w:p w14:paraId="315260A9">
      <w:pPr>
        <w:rPr>
          <w:rFonts w:hint="eastAsia" w:ascii="仿宋" w:hAnsi="仿宋" w:eastAsia="仿宋" w:cs="仿宋"/>
          <w:color w:val="auto"/>
          <w:highlight w:val="none"/>
        </w:rPr>
      </w:pPr>
    </w:p>
    <w:p w14:paraId="1040ECA2">
      <w:pPr>
        <w:rPr>
          <w:rFonts w:hint="eastAsia" w:ascii="仿宋" w:hAnsi="仿宋" w:eastAsia="仿宋" w:cs="仿宋"/>
          <w:color w:val="auto"/>
          <w:highlight w:val="none"/>
        </w:rPr>
      </w:pPr>
    </w:p>
    <w:p w14:paraId="73AA1245">
      <w:pPr>
        <w:rPr>
          <w:rFonts w:hint="eastAsia" w:ascii="仿宋" w:hAnsi="仿宋" w:eastAsia="仿宋" w:cs="仿宋"/>
          <w:color w:val="auto"/>
          <w:highlight w:val="none"/>
        </w:rPr>
      </w:pPr>
    </w:p>
    <w:p w14:paraId="15894B44">
      <w:pPr>
        <w:rPr>
          <w:rFonts w:hint="eastAsia" w:ascii="仿宋" w:hAnsi="仿宋" w:eastAsia="仿宋" w:cs="仿宋"/>
          <w:color w:val="auto"/>
          <w:highlight w:val="none"/>
        </w:rPr>
      </w:pPr>
    </w:p>
    <w:p w14:paraId="6BEF50A2">
      <w:pPr>
        <w:rPr>
          <w:rFonts w:hint="eastAsia" w:ascii="仿宋" w:hAnsi="仿宋" w:eastAsia="仿宋" w:cs="仿宋"/>
          <w:color w:val="auto"/>
          <w:highlight w:val="none"/>
        </w:rPr>
      </w:pPr>
    </w:p>
    <w:p w14:paraId="161D9F09">
      <w:pPr>
        <w:rPr>
          <w:rFonts w:hint="eastAsia" w:ascii="仿宋" w:hAnsi="仿宋" w:eastAsia="仿宋" w:cs="仿宋"/>
          <w:color w:val="auto"/>
          <w:highlight w:val="none"/>
        </w:rPr>
      </w:pPr>
    </w:p>
    <w:p w14:paraId="2F68A24D">
      <w:pPr>
        <w:rPr>
          <w:rFonts w:hint="eastAsia" w:ascii="仿宋" w:hAnsi="仿宋" w:eastAsia="仿宋" w:cs="仿宋"/>
          <w:color w:val="auto"/>
          <w:highlight w:val="none"/>
        </w:rPr>
      </w:pPr>
    </w:p>
    <w:p w14:paraId="272E3468">
      <w:pPr>
        <w:rPr>
          <w:rFonts w:hint="eastAsia" w:ascii="仿宋" w:hAnsi="仿宋" w:eastAsia="仿宋" w:cs="仿宋"/>
          <w:color w:val="auto"/>
          <w:highlight w:val="none"/>
        </w:rPr>
      </w:pPr>
    </w:p>
    <w:p w14:paraId="03C64324">
      <w:pPr>
        <w:rPr>
          <w:rFonts w:hint="eastAsia" w:ascii="仿宋" w:hAnsi="仿宋" w:eastAsia="仿宋" w:cs="仿宋"/>
          <w:color w:val="auto"/>
          <w:highlight w:val="none"/>
        </w:rPr>
      </w:pPr>
    </w:p>
    <w:p w14:paraId="41A56882">
      <w:pPr>
        <w:rPr>
          <w:rFonts w:hint="eastAsia" w:ascii="仿宋" w:hAnsi="仿宋" w:eastAsia="仿宋" w:cs="仿宋"/>
          <w:color w:val="auto"/>
          <w:highlight w:val="none"/>
        </w:rPr>
      </w:pPr>
    </w:p>
    <w:p w14:paraId="7DD739F0">
      <w:pPr>
        <w:rPr>
          <w:rFonts w:hint="eastAsia" w:ascii="仿宋" w:hAnsi="仿宋" w:eastAsia="仿宋" w:cs="仿宋"/>
          <w:color w:val="auto"/>
          <w:highlight w:val="none"/>
        </w:rPr>
      </w:pPr>
    </w:p>
    <w:p w14:paraId="1B63FEFE">
      <w:pPr>
        <w:rPr>
          <w:rFonts w:hint="eastAsia" w:ascii="仿宋" w:hAnsi="仿宋" w:eastAsia="仿宋" w:cs="仿宋"/>
          <w:color w:val="auto"/>
          <w:highlight w:val="none"/>
        </w:rPr>
      </w:pPr>
    </w:p>
    <w:p w14:paraId="57ADD990">
      <w:pPr>
        <w:rPr>
          <w:rFonts w:hint="eastAsia" w:ascii="仿宋" w:hAnsi="仿宋" w:eastAsia="仿宋" w:cs="仿宋"/>
          <w:color w:val="auto"/>
          <w:highlight w:val="none"/>
        </w:rPr>
      </w:pPr>
    </w:p>
    <w:p w14:paraId="71644DD7">
      <w:pPr>
        <w:rPr>
          <w:rFonts w:hint="eastAsia" w:ascii="仿宋" w:hAnsi="仿宋" w:eastAsia="仿宋" w:cs="仿宋"/>
          <w:color w:val="auto"/>
          <w:highlight w:val="none"/>
        </w:rPr>
      </w:pPr>
    </w:p>
    <w:p w14:paraId="56559F81">
      <w:pPr>
        <w:rPr>
          <w:rFonts w:hint="eastAsia" w:ascii="仿宋" w:hAnsi="仿宋" w:eastAsia="仿宋" w:cs="仿宋"/>
          <w:color w:val="auto"/>
          <w:highlight w:val="none"/>
        </w:rPr>
      </w:pPr>
    </w:p>
    <w:p w14:paraId="7C3D8F64">
      <w:pPr>
        <w:rPr>
          <w:rFonts w:hint="eastAsia" w:ascii="仿宋" w:hAnsi="仿宋" w:eastAsia="仿宋" w:cs="仿宋"/>
          <w:color w:val="auto"/>
          <w:highlight w:val="none"/>
        </w:rPr>
      </w:pPr>
    </w:p>
    <w:p w14:paraId="1B854586">
      <w:pPr>
        <w:rPr>
          <w:rFonts w:hint="eastAsia" w:ascii="仿宋" w:hAnsi="仿宋" w:eastAsia="仿宋" w:cs="仿宋"/>
          <w:color w:val="auto"/>
          <w:highlight w:val="none"/>
        </w:rPr>
      </w:pPr>
    </w:p>
    <w:p w14:paraId="756BCCF7">
      <w:pPr>
        <w:rPr>
          <w:rFonts w:hint="eastAsia" w:ascii="仿宋" w:hAnsi="仿宋" w:eastAsia="仿宋" w:cs="仿宋"/>
          <w:color w:val="auto"/>
          <w:highlight w:val="none"/>
        </w:rPr>
      </w:pPr>
    </w:p>
    <w:p w14:paraId="2A3A362B">
      <w:pPr>
        <w:pStyle w:val="45"/>
        <w:rPr>
          <w:rFonts w:hint="eastAsia" w:ascii="仿宋" w:hAnsi="仿宋" w:eastAsia="仿宋" w:cs="仿宋"/>
          <w:color w:val="auto"/>
          <w:highlight w:val="none"/>
        </w:rPr>
      </w:pPr>
    </w:p>
    <w:p w14:paraId="035CC2A8">
      <w:pPr>
        <w:rPr>
          <w:rFonts w:hint="eastAsia" w:ascii="仿宋" w:hAnsi="仿宋" w:eastAsia="仿宋" w:cs="仿宋"/>
          <w:color w:val="auto"/>
          <w:highlight w:val="none"/>
        </w:rPr>
      </w:pPr>
    </w:p>
    <w:bookmarkEnd w:id="652"/>
    <w:bookmarkEnd w:id="653"/>
    <w:p w14:paraId="0049D310">
      <w:pPr>
        <w:pStyle w:val="7"/>
        <w:spacing w:line="360" w:lineRule="auto"/>
        <w:ind w:left="0" w:leftChars="0" w:firstLine="0" w:firstLineChars="0"/>
        <w:rPr>
          <w:rFonts w:hint="eastAsia" w:ascii="仿宋" w:hAnsi="仿宋" w:eastAsia="仿宋" w:cs="仿宋"/>
          <w:color w:val="auto"/>
          <w:highlight w:val="none"/>
        </w:rPr>
      </w:pPr>
    </w:p>
    <w:p w14:paraId="6C83FA6C">
      <w:pPr>
        <w:rPr>
          <w:rFonts w:hint="eastAsia" w:ascii="仿宋" w:hAnsi="仿宋" w:eastAsia="仿宋" w:cs="仿宋"/>
          <w:b w:val="0"/>
          <w:bCs w:val="0"/>
          <w:color w:val="auto"/>
          <w:sz w:val="28"/>
          <w:szCs w:val="28"/>
          <w:highlight w:val="none"/>
        </w:rPr>
      </w:pPr>
      <w:bookmarkStart w:id="657" w:name="_Toc25690"/>
      <w:bookmarkStart w:id="658" w:name="_Toc7744"/>
      <w:bookmarkStart w:id="659" w:name="_Toc20983"/>
      <w:r>
        <w:rPr>
          <w:rFonts w:hint="eastAsia" w:ascii="仿宋" w:hAnsi="仿宋" w:eastAsia="仿宋" w:cs="仿宋"/>
          <w:b w:val="0"/>
          <w:bCs w:val="0"/>
          <w:color w:val="auto"/>
          <w:sz w:val="28"/>
          <w:szCs w:val="28"/>
          <w:highlight w:val="none"/>
        </w:rPr>
        <w:br w:type="page"/>
      </w:r>
    </w:p>
    <w:bookmarkEnd w:id="657"/>
    <w:bookmarkEnd w:id="658"/>
    <w:bookmarkEnd w:id="659"/>
    <w:p w14:paraId="216EA117">
      <w:pPr>
        <w:pStyle w:val="53"/>
        <w:jc w:val="left"/>
        <w:rPr>
          <w:rFonts w:hint="eastAsia" w:ascii="仿宋" w:hAnsi="仿宋" w:eastAsia="仿宋" w:cs="仿宋"/>
          <w:b/>
          <w:bCs/>
          <w:color w:val="auto"/>
          <w:sz w:val="28"/>
          <w:szCs w:val="28"/>
          <w:highlight w:val="none"/>
          <w:lang w:val="en-GB"/>
        </w:rPr>
      </w:pPr>
      <w:r>
        <w:rPr>
          <w:rFonts w:hint="eastAsia" w:ascii="仿宋" w:hAnsi="仿宋" w:eastAsia="仿宋" w:cs="仿宋"/>
          <w:b/>
          <w:bCs/>
          <w:color w:val="auto"/>
          <w:sz w:val="28"/>
          <w:szCs w:val="28"/>
          <w:highlight w:val="none"/>
          <w:lang w:val="en-GB"/>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GB"/>
        </w:rPr>
        <w:t>：中小企业声明函（工程）</w:t>
      </w:r>
    </w:p>
    <w:p w14:paraId="0870F8FE">
      <w:pPr>
        <w:jc w:val="center"/>
        <w:rPr>
          <w:rFonts w:hint="eastAsia" w:ascii="仿宋" w:hAnsi="仿宋" w:eastAsia="仿宋" w:cs="仿宋"/>
          <w:color w:val="auto"/>
          <w:szCs w:val="21"/>
          <w:highlight w:val="none"/>
        </w:rPr>
      </w:pPr>
    </w:p>
    <w:p w14:paraId="2138B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（属于中小微企业的填写，不属于的无需填写此项内容）</w:t>
      </w:r>
    </w:p>
    <w:p w14:paraId="521567C9">
      <w:pPr>
        <w:autoSpaceDE w:val="0"/>
        <w:autoSpaceDN w:val="0"/>
        <w:adjustRightInd w:val="0"/>
        <w:spacing w:line="560" w:lineRule="exact"/>
        <w:jc w:val="center"/>
        <w:outlineLvl w:val="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65371F54">
      <w:pPr>
        <w:autoSpaceDE w:val="0"/>
        <w:autoSpaceDN w:val="0"/>
        <w:adjustRightInd w:val="0"/>
        <w:spacing w:line="560" w:lineRule="exact"/>
        <w:jc w:val="center"/>
        <w:outlineLvl w:val="1"/>
        <w:rPr>
          <w:rFonts w:hint="eastAsia" w:ascii="仿宋" w:hAnsi="仿宋" w:eastAsia="仿宋" w:cs="仿宋"/>
          <w:color w:val="auto"/>
          <w:sz w:val="24"/>
          <w:szCs w:val="24"/>
          <w:highlight w:val="none"/>
        </w:rPr>
      </w:pPr>
      <w:bookmarkStart w:id="660" w:name="_Toc8036"/>
      <w:bookmarkStart w:id="661" w:name="_Toc4340"/>
      <w:r>
        <w:rPr>
          <w:rFonts w:hint="eastAsia" w:ascii="仿宋" w:hAnsi="仿宋" w:eastAsia="仿宋" w:cs="仿宋"/>
          <w:color w:val="auto"/>
          <w:kern w:val="2"/>
          <w:sz w:val="24"/>
          <w:szCs w:val="24"/>
          <w:highlight w:val="none"/>
        </w:rPr>
        <w:t>中小企业声明函（工程）</w:t>
      </w:r>
      <w:bookmarkEnd w:id="660"/>
      <w:bookmarkEnd w:id="661"/>
    </w:p>
    <w:p w14:paraId="526C841B">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采购活动，工程的施工单位全部为符合政策要求的中小企业。相关企业（含联合体中的中小企业、签订分包意向协议的中小企业）的具体情况如下：</w:t>
      </w:r>
    </w:p>
    <w:p w14:paraId="49BB18DD">
      <w:pPr>
        <w:numPr>
          <w:ilvl w:val="0"/>
          <w:numId w:val="8"/>
        </w:num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2C555EBD">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261E3D24">
      <w:pPr>
        <w:pStyle w:val="45"/>
        <w:ind w:left="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C880407">
      <w:pPr>
        <w:ind w:firstLine="480"/>
        <w:rPr>
          <w:rFonts w:hint="eastAsia" w:ascii="仿宋" w:hAnsi="仿宋" w:eastAsia="仿宋" w:cs="仿宋"/>
          <w:color w:val="auto"/>
          <w:sz w:val="24"/>
          <w:szCs w:val="24"/>
          <w:highlight w:val="none"/>
        </w:rPr>
      </w:pPr>
    </w:p>
    <w:p w14:paraId="43E5AE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以上企业，不属于大企业的分支机构，不存在控股股东为大企业的情形，也不存在与大企业的负责人为同一人的情形。 </w:t>
      </w:r>
    </w:p>
    <w:p w14:paraId="53C57E7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 法承担相应责任。</w:t>
      </w:r>
    </w:p>
    <w:p w14:paraId="272C1B64">
      <w:pPr>
        <w:spacing w:line="360" w:lineRule="auto"/>
        <w:ind w:firstLine="6000" w:firstLineChars="2500"/>
        <w:rPr>
          <w:rFonts w:hint="eastAsia" w:ascii="仿宋" w:hAnsi="仿宋" w:eastAsia="仿宋" w:cs="仿宋"/>
          <w:color w:val="auto"/>
          <w:sz w:val="24"/>
          <w:szCs w:val="24"/>
          <w:highlight w:val="none"/>
        </w:rPr>
      </w:pPr>
    </w:p>
    <w:p w14:paraId="008FF0AB">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企业名称（盖章）： </w:t>
      </w:r>
    </w:p>
    <w:p w14:paraId="29FF8448">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14:paraId="5B65BE4F">
      <w:pPr>
        <w:pStyle w:val="9"/>
        <w:keepNext w:val="0"/>
        <w:keepLines w:val="0"/>
        <w:pageBreakBefore w:val="0"/>
        <w:widowControl w:val="0"/>
        <w:kinsoku/>
        <w:wordWrap/>
        <w:overflowPunct/>
        <w:topLinePunct w:val="0"/>
        <w:autoSpaceDE w:val="0"/>
        <w:autoSpaceDN w:val="0"/>
        <w:bidi w:val="0"/>
        <w:adjustRightInd/>
        <w:snapToGrid/>
        <w:spacing w:before="19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6B6EB59D">
      <w:pPr>
        <w:pStyle w:val="9"/>
        <w:keepNext w:val="0"/>
        <w:keepLines w:val="0"/>
        <w:pageBreakBefore w:val="0"/>
        <w:widowControl w:val="0"/>
        <w:kinsoku/>
        <w:wordWrap/>
        <w:overflowPunct/>
        <w:topLinePunct w:val="0"/>
        <w:autoSpaceDE w:val="0"/>
        <w:autoSpaceDN w:val="0"/>
        <w:bidi w:val="0"/>
        <w:adjustRightInd/>
        <w:snapToGrid/>
        <w:spacing w:before="194" w:line="360" w:lineRule="auto"/>
        <w:ind w:right="613"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1、从业人员、营业收入、资产总额填报上一年度数据，无上一年度数据的新成立</w:t>
      </w:r>
      <w:r>
        <w:rPr>
          <w:rFonts w:hint="eastAsia" w:ascii="仿宋" w:hAnsi="仿宋" w:eastAsia="仿宋" w:cs="仿宋"/>
          <w:color w:val="auto"/>
          <w:sz w:val="24"/>
          <w:szCs w:val="24"/>
          <w:highlight w:val="none"/>
        </w:rPr>
        <w:t>企业可不填报。</w:t>
      </w:r>
    </w:p>
    <w:p w14:paraId="2A8E682B">
      <w:pPr>
        <w:pStyle w:val="9"/>
        <w:keepNext w:val="0"/>
        <w:keepLines w:val="0"/>
        <w:pageBreakBefore w:val="0"/>
        <w:widowControl w:val="0"/>
        <w:kinsoku/>
        <w:wordWrap/>
        <w:overflowPunct/>
        <w:topLinePunct w:val="0"/>
        <w:autoSpaceDE w:val="0"/>
        <w:autoSpaceDN w:val="0"/>
        <w:bidi w:val="0"/>
        <w:adjustRightInd/>
        <w:snapToGrid/>
        <w:spacing w:before="2" w:line="360" w:lineRule="auto"/>
        <w:ind w:right="613"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2、中小企业参加政府采购活动，应当岀具《中小企业声明函》，否则不得享受相</w:t>
      </w:r>
      <w:r>
        <w:rPr>
          <w:rFonts w:hint="eastAsia" w:ascii="仿宋" w:hAnsi="仿宋" w:eastAsia="仿宋" w:cs="仿宋"/>
          <w:color w:val="auto"/>
          <w:sz w:val="24"/>
          <w:szCs w:val="24"/>
          <w:highlight w:val="none"/>
        </w:rPr>
        <w:t>关中小企业扶持政策。</w:t>
      </w:r>
    </w:p>
    <w:p w14:paraId="05A20620">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2</w:t>
      </w:r>
      <w:r>
        <w:rPr>
          <w:rFonts w:hint="eastAsia" w:ascii="仿宋" w:hAnsi="仿宋" w:eastAsia="仿宋" w:cs="仿宋"/>
          <w:b/>
          <w:color w:val="auto"/>
          <w:spacing w:val="6"/>
          <w:sz w:val="28"/>
          <w:szCs w:val="28"/>
          <w:highlight w:val="none"/>
        </w:rPr>
        <w:t>：残疾人福利性单位声明函</w:t>
      </w:r>
    </w:p>
    <w:p w14:paraId="58F7DE82">
      <w:pPr>
        <w:spacing w:line="588" w:lineRule="exact"/>
        <w:jc w:val="center"/>
        <w:rPr>
          <w:rFonts w:hint="eastAsia" w:ascii="仿宋" w:hAnsi="仿宋" w:eastAsia="仿宋" w:cs="仿宋"/>
          <w:b/>
          <w:spacing w:val="6"/>
          <w:sz w:val="24"/>
          <w:szCs w:val="24"/>
        </w:rPr>
      </w:pPr>
      <w:r>
        <w:rPr>
          <w:rFonts w:hint="eastAsia" w:ascii="仿宋" w:hAnsi="仿宋" w:eastAsia="仿宋" w:cs="仿宋"/>
          <w:sz w:val="24"/>
          <w:szCs w:val="24"/>
        </w:rPr>
        <w:t>（属于残疾人福利性单位的填写，不属于的无需填写此项内容）</w:t>
      </w:r>
    </w:p>
    <w:p w14:paraId="357FA5AE">
      <w:pPr>
        <w:spacing w:line="588"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34577D">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3C2B52E">
      <w:pPr>
        <w:spacing w:line="588" w:lineRule="exact"/>
        <w:ind w:firstLine="480" w:firstLineChars="200"/>
        <w:rPr>
          <w:rFonts w:hint="eastAsia" w:ascii="仿宋" w:hAnsi="仿宋" w:eastAsia="仿宋" w:cs="仿宋"/>
          <w:sz w:val="24"/>
          <w:szCs w:val="24"/>
        </w:rPr>
      </w:pPr>
    </w:p>
    <w:p w14:paraId="52E9C241">
      <w:pPr>
        <w:spacing w:line="588" w:lineRule="exact"/>
        <w:ind w:firstLine="480" w:firstLineChars="200"/>
        <w:rPr>
          <w:rFonts w:hint="eastAsia" w:ascii="仿宋" w:hAnsi="仿宋" w:eastAsia="仿宋" w:cs="仿宋"/>
          <w:sz w:val="24"/>
          <w:szCs w:val="24"/>
        </w:rPr>
      </w:pPr>
    </w:p>
    <w:p w14:paraId="7C0AAD7A">
      <w:pPr>
        <w:wordWrap w:val="0"/>
        <w:spacing w:line="450" w:lineRule="atLeast"/>
        <w:jc w:val="center"/>
        <w:rPr>
          <w:rFonts w:hint="eastAsia" w:ascii="仿宋" w:hAnsi="仿宋" w:eastAsia="仿宋" w:cs="仿宋"/>
          <w:sz w:val="24"/>
          <w:szCs w:val="24"/>
        </w:rPr>
      </w:pPr>
      <w:r>
        <w:rPr>
          <w:rFonts w:hint="eastAsia" w:ascii="仿宋" w:hAnsi="仿宋" w:eastAsia="仿宋" w:cs="仿宋"/>
          <w:sz w:val="24"/>
          <w:szCs w:val="24"/>
        </w:rPr>
        <w:t xml:space="preserve">                                 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电子签章</w:t>
      </w:r>
      <w:r>
        <w:rPr>
          <w:rFonts w:hint="eastAsia" w:ascii="仿宋" w:hAnsi="仿宋" w:eastAsia="仿宋" w:cs="仿宋"/>
          <w:sz w:val="24"/>
          <w:szCs w:val="24"/>
        </w:rPr>
        <w:t>）</w:t>
      </w:r>
    </w:p>
    <w:p w14:paraId="0E96D6ED">
      <w:pPr>
        <w:wordWrap w:val="0"/>
        <w:spacing w:line="450" w:lineRule="atLeast"/>
        <w:jc w:val="right"/>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电子签章</w:t>
      </w:r>
      <w:r>
        <w:rPr>
          <w:rFonts w:hint="eastAsia" w:ascii="仿宋" w:hAnsi="仿宋" w:eastAsia="仿宋" w:cs="仿宋"/>
          <w:sz w:val="24"/>
          <w:szCs w:val="24"/>
        </w:rPr>
        <w:t>）</w:t>
      </w:r>
    </w:p>
    <w:p w14:paraId="1C897F53">
      <w:pPr>
        <w:wordWrap w:val="0"/>
        <w:spacing w:line="450" w:lineRule="atLeast"/>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046601">
      <w:pPr>
        <w:pStyle w:val="7"/>
        <w:spacing w:line="360" w:lineRule="auto"/>
        <w:ind w:left="0" w:leftChars="0" w:firstLine="0" w:firstLineChars="0"/>
        <w:rPr>
          <w:rFonts w:hint="eastAsia" w:ascii="仿宋" w:hAnsi="仿宋" w:eastAsia="仿宋" w:cs="仿宋"/>
          <w:b/>
          <w:sz w:val="24"/>
          <w:szCs w:val="24"/>
        </w:rPr>
      </w:pPr>
    </w:p>
    <w:p w14:paraId="4F5FD0BA">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14:paraId="06E70863">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2.中小企业划分标准，是指国务院有关部门根据企业从业人员、营业收入、资产总额等指标制定的中小企业划型标准进行核定。</w:t>
      </w:r>
    </w:p>
    <w:p w14:paraId="7C2105A6">
      <w:pPr>
        <w:pStyle w:val="7"/>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3.对于监狱企业/残疾人福利性单位和供应商及响应产品生产商均为小型、微型企业的，评标价格扣除按财库[2011]181号文件中最低比例20%扣除。</w:t>
      </w:r>
    </w:p>
    <w:p w14:paraId="414ED69C">
      <w:pPr>
        <w:pStyle w:val="7"/>
        <w:spacing w:line="360" w:lineRule="auto"/>
        <w:rPr>
          <w:rFonts w:hint="eastAsia" w:ascii="仿宋" w:hAnsi="仿宋" w:eastAsia="仿宋" w:cs="仿宋"/>
          <w:color w:val="auto"/>
          <w:highlight w:val="none"/>
        </w:rPr>
      </w:pPr>
      <w:r>
        <w:rPr>
          <w:rFonts w:hint="eastAsia" w:ascii="仿宋" w:hAnsi="仿宋" w:eastAsia="仿宋" w:cs="仿宋"/>
          <w:kern w:val="2"/>
          <w:sz w:val="24"/>
          <w:szCs w:val="24"/>
          <w:lang w:val="en-US" w:eastAsia="zh-CN" w:bidi="ar-SA"/>
        </w:rPr>
        <w:t>4.小型、微型企业提供中型企业制造的货物的，视同为中型企业。</w:t>
      </w:r>
    </w:p>
    <w:p w14:paraId="5BB111D2">
      <w:pPr>
        <w:pageBreakBefore/>
        <w:spacing w:line="588" w:lineRule="exact"/>
        <w:jc w:val="left"/>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附件</w:t>
      </w:r>
      <w:r>
        <w:rPr>
          <w:rFonts w:hint="eastAsia" w:ascii="仿宋" w:hAnsi="仿宋" w:eastAsia="仿宋" w:cs="仿宋"/>
          <w:b/>
          <w:color w:val="auto"/>
          <w:spacing w:val="6"/>
          <w:sz w:val="28"/>
          <w:szCs w:val="28"/>
          <w:highlight w:val="none"/>
          <w:lang w:val="en-US" w:eastAsia="zh-CN"/>
        </w:rPr>
        <w:t>3</w:t>
      </w:r>
      <w:r>
        <w:rPr>
          <w:rFonts w:hint="eastAsia" w:ascii="仿宋" w:hAnsi="仿宋" w:eastAsia="仿宋" w:cs="仿宋"/>
          <w:b/>
          <w:color w:val="auto"/>
          <w:spacing w:val="6"/>
          <w:sz w:val="28"/>
          <w:szCs w:val="28"/>
          <w:highlight w:val="none"/>
        </w:rPr>
        <w:t>：监狱企业证明材料</w:t>
      </w:r>
    </w:p>
    <w:p w14:paraId="15D3BCC9">
      <w:pPr>
        <w:spacing w:line="588" w:lineRule="exact"/>
        <w:jc w:val="center"/>
        <w:rPr>
          <w:rFonts w:hint="eastAsia" w:ascii="仿宋" w:hAnsi="仿宋" w:eastAsia="仿宋" w:cs="仿宋"/>
          <w:b/>
          <w:color w:val="auto"/>
          <w:spacing w:val="6"/>
          <w:szCs w:val="21"/>
          <w:highlight w:val="none"/>
        </w:rPr>
      </w:pPr>
      <w:r>
        <w:rPr>
          <w:rFonts w:hint="eastAsia" w:ascii="仿宋" w:hAnsi="仿宋" w:eastAsia="仿宋" w:cs="仿宋"/>
          <w:color w:val="auto"/>
          <w:szCs w:val="21"/>
          <w:highlight w:val="none"/>
        </w:rPr>
        <w:t>（属于监狱企业的填写，不属于的无需填写此项内容）</w:t>
      </w:r>
    </w:p>
    <w:p w14:paraId="1B820945">
      <w:pPr>
        <w:rPr>
          <w:rFonts w:hint="eastAsia" w:ascii="仿宋" w:hAnsi="仿宋" w:eastAsia="仿宋" w:cs="仿宋"/>
          <w:color w:val="auto"/>
          <w:highlight w:val="none"/>
        </w:rPr>
      </w:pPr>
    </w:p>
    <w:p w14:paraId="7B6CFC9D">
      <w:pPr>
        <w:rPr>
          <w:rFonts w:hint="eastAsia" w:ascii="仿宋" w:hAnsi="仿宋" w:eastAsia="仿宋" w:cs="仿宋"/>
          <w:color w:val="auto"/>
          <w:highlight w:val="none"/>
        </w:rPr>
      </w:pPr>
    </w:p>
    <w:p w14:paraId="2B626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监狱企业证明材料</w:t>
      </w:r>
    </w:p>
    <w:p w14:paraId="41B96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lang w:val="en-GB"/>
        </w:rPr>
      </w:pPr>
      <w:r>
        <w:rPr>
          <w:rFonts w:hint="eastAsia" w:ascii="仿宋" w:hAnsi="仿宋" w:eastAsia="仿宋" w:cs="仿宋"/>
          <w:color w:val="auto"/>
          <w:highlight w:val="none"/>
          <w:lang w:val="en-GB"/>
        </w:rPr>
        <w:t>监狱企业参加政府采购活动时，应当提供由省级以上监狱管理局、戒毒管理局（含新疆生产建设兵团）出具的属于监狱企业的证明文件。</w:t>
      </w:r>
    </w:p>
    <w:p w14:paraId="02CD042E">
      <w:pPr>
        <w:rPr>
          <w:rFonts w:hint="eastAsia" w:ascii="仿宋" w:hAnsi="仿宋" w:eastAsia="仿宋" w:cs="仿宋"/>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02B267C-DB81-4152-B274-C69551096CA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83" w:usb1="288F0000" w:usb2="00000006" w:usb3="00000000" w:csb0="00040001" w:csb1="00000000"/>
    <w:embedRegular r:id="rId2" w:fontKey="{D51DD5C3-06F8-446B-96BE-CE60F5A9BA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4ED4">
    <w:pPr>
      <w:pStyle w:val="15"/>
      <w:tabs>
        <w:tab w:val="left" w:pos="828"/>
        <w:tab w:val="clear" w:pos="4153"/>
      </w:tabs>
      <w:rPr>
        <w:rFonts w:hint="eastAsia"/>
      </w:rPr>
    </w:pPr>
  </w:p>
  <w:p w14:paraId="01840431">
    <w:pPr>
      <w:pStyle w:val="15"/>
      <w:tabs>
        <w:tab w:val="left" w:pos="828"/>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921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A87D8">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7A87D8">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3B6B">
    <w:pPr>
      <w:pStyle w:val="15"/>
      <w:tabs>
        <w:tab w:val="left" w:pos="828"/>
        <w:tab w:val="clear" w:pos="4153"/>
      </w:tabs>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EB04E">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7EB04E">
                    <w:pPr>
                      <w:pStyle w:val="15"/>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p>
  <w:p w14:paraId="0362B694">
    <w:pPr>
      <w:pStyle w:val="15"/>
      <w:tabs>
        <w:tab w:val="left" w:pos="828"/>
        <w:tab w:val="clear" w:pos="4153"/>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36A2">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20216">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4720216">
                    <w:pPr>
                      <w:pStyle w:val="15"/>
                    </w:pPr>
                    <w:r>
                      <w:fldChar w:fldCharType="begin"/>
                    </w:r>
                    <w:r>
                      <w:instrText xml:space="preserve"> PAGE  \* MERGEFORMAT </w:instrText>
                    </w:r>
                    <w:r>
                      <w:fldChar w:fldCharType="separate"/>
                    </w:r>
                    <w:r>
                      <w:t>55</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8270">
    <w:pPr>
      <w:pStyle w:val="15"/>
      <w:framePr w:wrap="around" w:vAnchor="text" w:hAnchor="margin" w:xAlign="right" w:y="1"/>
      <w:rPr>
        <w:rStyle w:val="31"/>
      </w:rPr>
    </w:pPr>
    <w:r>
      <w:fldChar w:fldCharType="begin"/>
    </w:r>
    <w:r>
      <w:rPr>
        <w:rStyle w:val="31"/>
      </w:rPr>
      <w:instrText xml:space="preserve">PAGE  </w:instrText>
    </w:r>
    <w:r>
      <w:fldChar w:fldCharType="separate"/>
    </w:r>
    <w:r>
      <w:rPr>
        <w:rStyle w:val="31"/>
      </w:rPr>
      <w:t>- 11 -</w:t>
    </w:r>
    <w:r>
      <w:fldChar w:fldCharType="end"/>
    </w:r>
  </w:p>
  <w:p w14:paraId="4CC3896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4431">
    <w:pPr>
      <w:pStyle w:val="15"/>
      <w:tabs>
        <w:tab w:val="left" w:pos="6442"/>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7A0A">
    <w:pPr>
      <w:pStyle w:val="15"/>
      <w:tabs>
        <w:tab w:val="left" w:pos="828"/>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1058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1058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3E7B2E48">
    <w:pPr>
      <w:pStyle w:val="15"/>
      <w:tabs>
        <w:tab w:val="left" w:pos="828"/>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3301">
    <w:pPr>
      <w:pStyle w:val="15"/>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9A4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E49A40">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FBFC">
    <w:pPr>
      <w:pStyle w:val="1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CE030">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3CE030">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02A7">
    <w:pPr>
      <w:pStyle w:val="15"/>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7EA5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77EA5A">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5B5A">
    <w:pPr>
      <w:pStyle w:val="15"/>
      <w:ind w:right="360"/>
      <w:rPr>
        <w:rFonts w:hint="eastAsia"/>
        <w:szCs w:val="2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8C215">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B8C215">
                    <w:pPr>
                      <w:pStyle w:val="15"/>
                    </w:pPr>
                    <w:r>
                      <w:fldChar w:fldCharType="begin"/>
                    </w:r>
                    <w:r>
                      <w:instrText xml:space="preserve"> PAGE  \* MERGEFORMAT </w:instrText>
                    </w:r>
                    <w:r>
                      <w:fldChar w:fldCharType="separate"/>
                    </w:r>
                    <w:r>
                      <w:t>24</w:t>
                    </w:r>
                    <w:r>
                      <w:fldChar w:fldCharType="end"/>
                    </w:r>
                  </w:p>
                </w:txbxContent>
              </v:textbox>
            </v:shape>
          </w:pict>
        </mc:Fallback>
      </mc:AlternateContent>
    </w:r>
  </w:p>
  <w:p w14:paraId="4FB8FFE8">
    <w:pPr>
      <w:pStyle w:val="15"/>
      <w:ind w:right="360"/>
      <w:rPr>
        <w:rFonts w:hint="eastAsia" w:ascii="宋体" w:hAnsi="宋体"/>
      </w:rPr>
    </w:pPr>
    <w:r>
      <w:rPr>
        <w:rFonts w:hint="eastAsia" w:ascii="宋体" w:hAnsi="宋体"/>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F137">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2C38A">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82C38A">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B39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89AE">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BA86">
    <w:pPr>
      <w:pStyle w:val="17"/>
      <w:tabs>
        <w:tab w:val="left" w:pos="0"/>
        <w:tab w:val="left" w:pos="1021"/>
        <w:tab w:val="clear" w:pos="4153"/>
        <w:tab w:val="clear" w:pos="8306"/>
      </w:tabs>
      <w:ind w:right="991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35CD">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44D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4BAAD"/>
    <w:multiLevelType w:val="singleLevel"/>
    <w:tmpl w:val="C3B4BAAD"/>
    <w:lvl w:ilvl="0" w:tentative="0">
      <w:start w:val="2"/>
      <w:numFmt w:val="chineseCounting"/>
      <w:suff w:val="nothing"/>
      <w:lvlText w:val="（%1）"/>
      <w:lvlJc w:val="left"/>
      <w:rPr>
        <w:rFonts w:hint="eastAsia"/>
      </w:rPr>
    </w:lvl>
  </w:abstractNum>
  <w:abstractNum w:abstractNumId="1">
    <w:nsid w:val="CF397E5F"/>
    <w:multiLevelType w:val="singleLevel"/>
    <w:tmpl w:val="CF397E5F"/>
    <w:lvl w:ilvl="0" w:tentative="0">
      <w:start w:val="1"/>
      <w:numFmt w:val="chineseCounting"/>
      <w:suff w:val="nothing"/>
      <w:lvlText w:val="%1、"/>
      <w:lvlJc w:val="left"/>
      <w:pPr>
        <w:ind w:left="585" w:firstLine="0"/>
      </w:pPr>
      <w:rPr>
        <w:rFonts w:hint="eastAsia"/>
      </w:rPr>
    </w:lvl>
  </w:abstractNum>
  <w:abstractNum w:abstractNumId="2">
    <w:nsid w:val="DB047AEA"/>
    <w:multiLevelType w:val="singleLevel"/>
    <w:tmpl w:val="DB047AEA"/>
    <w:lvl w:ilvl="0" w:tentative="0">
      <w:start w:val="1"/>
      <w:numFmt w:val="decimal"/>
      <w:suff w:val="nothing"/>
      <w:lvlText w:val="%1、"/>
      <w:lvlJc w:val="left"/>
    </w:lvl>
  </w:abstractNum>
  <w:abstractNum w:abstractNumId="3">
    <w:nsid w:val="EB85264A"/>
    <w:multiLevelType w:val="singleLevel"/>
    <w:tmpl w:val="EB85264A"/>
    <w:lvl w:ilvl="0" w:tentative="0">
      <w:start w:val="8"/>
      <w:numFmt w:val="chineseCounting"/>
      <w:suff w:val="nothing"/>
      <w:lvlText w:val="%1、"/>
      <w:lvlJc w:val="left"/>
      <w:rPr>
        <w:rFonts w:hint="eastAsia"/>
      </w:rPr>
    </w:lvl>
  </w:abstractNum>
  <w:abstractNum w:abstractNumId="4">
    <w:nsid w:val="045E121B"/>
    <w:multiLevelType w:val="singleLevel"/>
    <w:tmpl w:val="045E121B"/>
    <w:lvl w:ilvl="0" w:tentative="0">
      <w:start w:val="1"/>
      <w:numFmt w:val="decimal"/>
      <w:suff w:val="space"/>
      <w:lvlText w:val="%1."/>
      <w:lvlJc w:val="left"/>
    </w:lvl>
  </w:abstractNum>
  <w:abstractNum w:abstractNumId="5">
    <w:nsid w:val="57F8DF82"/>
    <w:multiLevelType w:val="singleLevel"/>
    <w:tmpl w:val="57F8DF82"/>
    <w:lvl w:ilvl="0" w:tentative="0">
      <w:start w:val="1"/>
      <w:numFmt w:val="chineseCounting"/>
      <w:suff w:val="space"/>
      <w:lvlText w:val="第%1章"/>
      <w:lvlJc w:val="left"/>
    </w:lvl>
  </w:abstractNum>
  <w:abstractNum w:abstractNumId="6">
    <w:nsid w:val="6A9181CF"/>
    <w:multiLevelType w:val="singleLevel"/>
    <w:tmpl w:val="6A9181CF"/>
    <w:lvl w:ilvl="0" w:tentative="0">
      <w:start w:val="5"/>
      <w:numFmt w:val="decimal"/>
      <w:lvlText w:val="%1."/>
      <w:lvlJc w:val="left"/>
      <w:pPr>
        <w:tabs>
          <w:tab w:val="left" w:pos="312"/>
        </w:tabs>
      </w:pPr>
    </w:lvl>
  </w:abstractNum>
  <w:abstractNum w:abstractNumId="7">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5"/>
  </w:num>
  <w:num w:numId="2">
    <w:abstractNumId w:val="6"/>
  </w:num>
  <w:num w:numId="3">
    <w:abstractNumId w:val="1"/>
  </w:num>
  <w:num w:numId="4">
    <w:abstractNumId w:val="2"/>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zRlZmE5M2M0YWE5ZTA3MTI3OWJiZDAwMmI5YWYifQ=="/>
  </w:docVars>
  <w:rsids>
    <w:rsidRoot w:val="73043F04"/>
    <w:rsid w:val="00047F56"/>
    <w:rsid w:val="004A1E70"/>
    <w:rsid w:val="00DC7C1D"/>
    <w:rsid w:val="01334DBA"/>
    <w:rsid w:val="01527EDF"/>
    <w:rsid w:val="01981D96"/>
    <w:rsid w:val="01DB1C83"/>
    <w:rsid w:val="01F3521E"/>
    <w:rsid w:val="01F45FBB"/>
    <w:rsid w:val="021F7472"/>
    <w:rsid w:val="025A16D1"/>
    <w:rsid w:val="025C2867"/>
    <w:rsid w:val="027D71DE"/>
    <w:rsid w:val="0288009A"/>
    <w:rsid w:val="028F590D"/>
    <w:rsid w:val="02E1151B"/>
    <w:rsid w:val="030D030F"/>
    <w:rsid w:val="0314369E"/>
    <w:rsid w:val="031B2270"/>
    <w:rsid w:val="03393105"/>
    <w:rsid w:val="039B5B6E"/>
    <w:rsid w:val="039F0875"/>
    <w:rsid w:val="03BE1F1F"/>
    <w:rsid w:val="03DE5DE4"/>
    <w:rsid w:val="04C11604"/>
    <w:rsid w:val="05065269"/>
    <w:rsid w:val="0543026B"/>
    <w:rsid w:val="058D65B3"/>
    <w:rsid w:val="064D7720"/>
    <w:rsid w:val="074C448E"/>
    <w:rsid w:val="07685043"/>
    <w:rsid w:val="083D3319"/>
    <w:rsid w:val="08B82D1E"/>
    <w:rsid w:val="08E41D65"/>
    <w:rsid w:val="095E38C5"/>
    <w:rsid w:val="095F763D"/>
    <w:rsid w:val="097E3F67"/>
    <w:rsid w:val="098A290C"/>
    <w:rsid w:val="0A2B422F"/>
    <w:rsid w:val="0A34590C"/>
    <w:rsid w:val="0A590531"/>
    <w:rsid w:val="0A726EFC"/>
    <w:rsid w:val="0AB15C77"/>
    <w:rsid w:val="0AC37758"/>
    <w:rsid w:val="0AD57BB7"/>
    <w:rsid w:val="0AFE7E14"/>
    <w:rsid w:val="0B034CBA"/>
    <w:rsid w:val="0B462D36"/>
    <w:rsid w:val="0BC241ED"/>
    <w:rsid w:val="0BDE7619"/>
    <w:rsid w:val="0C13553C"/>
    <w:rsid w:val="0C25415B"/>
    <w:rsid w:val="0C2B2AE6"/>
    <w:rsid w:val="0C491161"/>
    <w:rsid w:val="0C6C6688"/>
    <w:rsid w:val="0C71026A"/>
    <w:rsid w:val="0C7E39F6"/>
    <w:rsid w:val="0CF167FE"/>
    <w:rsid w:val="0D0007F1"/>
    <w:rsid w:val="0D0061F7"/>
    <w:rsid w:val="0D0517F5"/>
    <w:rsid w:val="0D2E1801"/>
    <w:rsid w:val="0D634A19"/>
    <w:rsid w:val="0D6B4803"/>
    <w:rsid w:val="0DFE7425"/>
    <w:rsid w:val="0E0334AE"/>
    <w:rsid w:val="0E370248"/>
    <w:rsid w:val="0E5253B3"/>
    <w:rsid w:val="0E7476E7"/>
    <w:rsid w:val="0E7E2314"/>
    <w:rsid w:val="0EB14497"/>
    <w:rsid w:val="0EB46916"/>
    <w:rsid w:val="0EFD592E"/>
    <w:rsid w:val="0F96744E"/>
    <w:rsid w:val="100E0BB9"/>
    <w:rsid w:val="10C5422A"/>
    <w:rsid w:val="116869B5"/>
    <w:rsid w:val="11F0177A"/>
    <w:rsid w:val="120945EA"/>
    <w:rsid w:val="1234702B"/>
    <w:rsid w:val="1299596E"/>
    <w:rsid w:val="13631AD8"/>
    <w:rsid w:val="138A3509"/>
    <w:rsid w:val="14492FC5"/>
    <w:rsid w:val="148937C0"/>
    <w:rsid w:val="151237B6"/>
    <w:rsid w:val="15B8435D"/>
    <w:rsid w:val="161A6DC6"/>
    <w:rsid w:val="16C1295D"/>
    <w:rsid w:val="16C44F84"/>
    <w:rsid w:val="16D63DD3"/>
    <w:rsid w:val="16E318AE"/>
    <w:rsid w:val="17D64F6F"/>
    <w:rsid w:val="17DF02C7"/>
    <w:rsid w:val="18025D64"/>
    <w:rsid w:val="187529D9"/>
    <w:rsid w:val="18820C92"/>
    <w:rsid w:val="188E513C"/>
    <w:rsid w:val="189D27A6"/>
    <w:rsid w:val="18C63235"/>
    <w:rsid w:val="1910625E"/>
    <w:rsid w:val="196547FC"/>
    <w:rsid w:val="196565AA"/>
    <w:rsid w:val="197902A7"/>
    <w:rsid w:val="1981715C"/>
    <w:rsid w:val="19B412DF"/>
    <w:rsid w:val="19DE635C"/>
    <w:rsid w:val="19DF78EB"/>
    <w:rsid w:val="19DF7A68"/>
    <w:rsid w:val="19E5699B"/>
    <w:rsid w:val="1A705206"/>
    <w:rsid w:val="1A8717FA"/>
    <w:rsid w:val="1AC457C1"/>
    <w:rsid w:val="1B6635E4"/>
    <w:rsid w:val="1B8C0323"/>
    <w:rsid w:val="1C0C74DD"/>
    <w:rsid w:val="1C1815F1"/>
    <w:rsid w:val="1C1E75AD"/>
    <w:rsid w:val="1C2A3ADB"/>
    <w:rsid w:val="1C36141C"/>
    <w:rsid w:val="1C4E77C9"/>
    <w:rsid w:val="1CB35660"/>
    <w:rsid w:val="1CB82F98"/>
    <w:rsid w:val="1D6B43AB"/>
    <w:rsid w:val="1D6D3C7F"/>
    <w:rsid w:val="1D7274E7"/>
    <w:rsid w:val="1DA9587F"/>
    <w:rsid w:val="1E002D45"/>
    <w:rsid w:val="1EF66B10"/>
    <w:rsid w:val="1F6B41EE"/>
    <w:rsid w:val="1F9D55DF"/>
    <w:rsid w:val="1FAF4A23"/>
    <w:rsid w:val="1FCA360B"/>
    <w:rsid w:val="200A7EAB"/>
    <w:rsid w:val="20CF7019"/>
    <w:rsid w:val="20DA0BF2"/>
    <w:rsid w:val="20F052F3"/>
    <w:rsid w:val="2110329F"/>
    <w:rsid w:val="21323EAA"/>
    <w:rsid w:val="21914E23"/>
    <w:rsid w:val="21A2172C"/>
    <w:rsid w:val="21F77FBB"/>
    <w:rsid w:val="22460F43"/>
    <w:rsid w:val="22AC349C"/>
    <w:rsid w:val="22AE332E"/>
    <w:rsid w:val="22C95DFC"/>
    <w:rsid w:val="22DC0A1F"/>
    <w:rsid w:val="23311535"/>
    <w:rsid w:val="239F6B5C"/>
    <w:rsid w:val="23D30BAB"/>
    <w:rsid w:val="23E66539"/>
    <w:rsid w:val="241237D2"/>
    <w:rsid w:val="244119C2"/>
    <w:rsid w:val="24A4022F"/>
    <w:rsid w:val="24FC55E9"/>
    <w:rsid w:val="25253091"/>
    <w:rsid w:val="255F2A47"/>
    <w:rsid w:val="25B66E03"/>
    <w:rsid w:val="25D55A37"/>
    <w:rsid w:val="2639590B"/>
    <w:rsid w:val="267A740D"/>
    <w:rsid w:val="26964247"/>
    <w:rsid w:val="26CA0394"/>
    <w:rsid w:val="26F31699"/>
    <w:rsid w:val="26FB054E"/>
    <w:rsid w:val="27602AA7"/>
    <w:rsid w:val="27F87689"/>
    <w:rsid w:val="28583D0D"/>
    <w:rsid w:val="286966F0"/>
    <w:rsid w:val="288A7DDB"/>
    <w:rsid w:val="28B05368"/>
    <w:rsid w:val="28C332ED"/>
    <w:rsid w:val="28D01566"/>
    <w:rsid w:val="29253E38"/>
    <w:rsid w:val="294934E1"/>
    <w:rsid w:val="298B7E31"/>
    <w:rsid w:val="299B2C5B"/>
    <w:rsid w:val="2A1D6A2D"/>
    <w:rsid w:val="2A500BB0"/>
    <w:rsid w:val="2A654D71"/>
    <w:rsid w:val="2A8B6DDD"/>
    <w:rsid w:val="2AE67194"/>
    <w:rsid w:val="2AFC2AE6"/>
    <w:rsid w:val="2B4B0F2E"/>
    <w:rsid w:val="2B8B0802"/>
    <w:rsid w:val="2B9F33B7"/>
    <w:rsid w:val="2C487BB6"/>
    <w:rsid w:val="2C9254B0"/>
    <w:rsid w:val="2D253883"/>
    <w:rsid w:val="2D9338A1"/>
    <w:rsid w:val="2DB25481"/>
    <w:rsid w:val="2E354194"/>
    <w:rsid w:val="2E380B85"/>
    <w:rsid w:val="2E6C1D31"/>
    <w:rsid w:val="2E8E614B"/>
    <w:rsid w:val="2EB2197F"/>
    <w:rsid w:val="2EEB70FA"/>
    <w:rsid w:val="2EF4306A"/>
    <w:rsid w:val="2F0106CB"/>
    <w:rsid w:val="2F4245AA"/>
    <w:rsid w:val="2F5729E1"/>
    <w:rsid w:val="2F8110B2"/>
    <w:rsid w:val="2F866CC6"/>
    <w:rsid w:val="2FA23C5C"/>
    <w:rsid w:val="30222700"/>
    <w:rsid w:val="304B42F4"/>
    <w:rsid w:val="309A6C2A"/>
    <w:rsid w:val="309F0AA3"/>
    <w:rsid w:val="30B71989"/>
    <w:rsid w:val="30ED53AB"/>
    <w:rsid w:val="31427DE9"/>
    <w:rsid w:val="318059EC"/>
    <w:rsid w:val="3228737A"/>
    <w:rsid w:val="32A12A53"/>
    <w:rsid w:val="3322153D"/>
    <w:rsid w:val="33421FB2"/>
    <w:rsid w:val="33DB773D"/>
    <w:rsid w:val="33FB7DDF"/>
    <w:rsid w:val="3451531E"/>
    <w:rsid w:val="346A3393"/>
    <w:rsid w:val="346A6C0D"/>
    <w:rsid w:val="34756D7D"/>
    <w:rsid w:val="347F27BE"/>
    <w:rsid w:val="3491376E"/>
    <w:rsid w:val="34A102AB"/>
    <w:rsid w:val="34F470B1"/>
    <w:rsid w:val="35061640"/>
    <w:rsid w:val="3544296F"/>
    <w:rsid w:val="358A32CD"/>
    <w:rsid w:val="35C71F1B"/>
    <w:rsid w:val="35DB22CF"/>
    <w:rsid w:val="35EA1144"/>
    <w:rsid w:val="36160EF2"/>
    <w:rsid w:val="36274EBB"/>
    <w:rsid w:val="366A0E18"/>
    <w:rsid w:val="369D679E"/>
    <w:rsid w:val="37215DAE"/>
    <w:rsid w:val="372F2F1C"/>
    <w:rsid w:val="37403D5B"/>
    <w:rsid w:val="379876F3"/>
    <w:rsid w:val="380745A5"/>
    <w:rsid w:val="381C5B77"/>
    <w:rsid w:val="38455ACD"/>
    <w:rsid w:val="38616DD9"/>
    <w:rsid w:val="38DC7C84"/>
    <w:rsid w:val="38EF5A38"/>
    <w:rsid w:val="390037A2"/>
    <w:rsid w:val="390B0AC4"/>
    <w:rsid w:val="39691347"/>
    <w:rsid w:val="39756E28"/>
    <w:rsid w:val="39D4535A"/>
    <w:rsid w:val="3AC54CA3"/>
    <w:rsid w:val="3AC86541"/>
    <w:rsid w:val="3ADE3E5D"/>
    <w:rsid w:val="3AE67426"/>
    <w:rsid w:val="3B0E03F7"/>
    <w:rsid w:val="3B5A363D"/>
    <w:rsid w:val="3BA743A8"/>
    <w:rsid w:val="3BC913F2"/>
    <w:rsid w:val="3C0E4427"/>
    <w:rsid w:val="3C2A3F6A"/>
    <w:rsid w:val="3CA01523"/>
    <w:rsid w:val="3CAA23A2"/>
    <w:rsid w:val="3CB2620D"/>
    <w:rsid w:val="3D4C3459"/>
    <w:rsid w:val="3E0E4BB3"/>
    <w:rsid w:val="3E135D25"/>
    <w:rsid w:val="3E466EA7"/>
    <w:rsid w:val="3E8A248B"/>
    <w:rsid w:val="3EB87A49"/>
    <w:rsid w:val="3F3643C1"/>
    <w:rsid w:val="3F6E3B5B"/>
    <w:rsid w:val="3F9335C1"/>
    <w:rsid w:val="3FA15684"/>
    <w:rsid w:val="3FAE21A9"/>
    <w:rsid w:val="3FD57736"/>
    <w:rsid w:val="3FE97B45"/>
    <w:rsid w:val="40096808"/>
    <w:rsid w:val="40510CD6"/>
    <w:rsid w:val="408053CA"/>
    <w:rsid w:val="40811FBA"/>
    <w:rsid w:val="40A1586A"/>
    <w:rsid w:val="40B14030"/>
    <w:rsid w:val="40E51BFB"/>
    <w:rsid w:val="4193231D"/>
    <w:rsid w:val="41986C6D"/>
    <w:rsid w:val="41D63C39"/>
    <w:rsid w:val="424620FB"/>
    <w:rsid w:val="42642972"/>
    <w:rsid w:val="42815953"/>
    <w:rsid w:val="42975177"/>
    <w:rsid w:val="42D404A5"/>
    <w:rsid w:val="42E26BEB"/>
    <w:rsid w:val="437E6337"/>
    <w:rsid w:val="43A01E09"/>
    <w:rsid w:val="43D900EB"/>
    <w:rsid w:val="44064AC4"/>
    <w:rsid w:val="44264157"/>
    <w:rsid w:val="447876B9"/>
    <w:rsid w:val="44815CE3"/>
    <w:rsid w:val="44D75CFE"/>
    <w:rsid w:val="45442347"/>
    <w:rsid w:val="454B3DD8"/>
    <w:rsid w:val="45873581"/>
    <w:rsid w:val="45BB5620"/>
    <w:rsid w:val="464556BD"/>
    <w:rsid w:val="46A63BDA"/>
    <w:rsid w:val="47394A4E"/>
    <w:rsid w:val="47B777FA"/>
    <w:rsid w:val="47D429C9"/>
    <w:rsid w:val="47DC48D8"/>
    <w:rsid w:val="48050DD4"/>
    <w:rsid w:val="48073451"/>
    <w:rsid w:val="48335942"/>
    <w:rsid w:val="484106AC"/>
    <w:rsid w:val="48753959"/>
    <w:rsid w:val="490966A2"/>
    <w:rsid w:val="49315BA3"/>
    <w:rsid w:val="49555444"/>
    <w:rsid w:val="49BA52D4"/>
    <w:rsid w:val="49EB3779"/>
    <w:rsid w:val="4A0155CC"/>
    <w:rsid w:val="4A265BF7"/>
    <w:rsid w:val="4A6D0359"/>
    <w:rsid w:val="4ACB00B3"/>
    <w:rsid w:val="4AE53583"/>
    <w:rsid w:val="4AEB42B2"/>
    <w:rsid w:val="4B0E650B"/>
    <w:rsid w:val="4B3B2C1B"/>
    <w:rsid w:val="4B447E66"/>
    <w:rsid w:val="4B6642D2"/>
    <w:rsid w:val="4B9B1571"/>
    <w:rsid w:val="4BB07669"/>
    <w:rsid w:val="4BB9615E"/>
    <w:rsid w:val="4BFB6776"/>
    <w:rsid w:val="4BFC24EE"/>
    <w:rsid w:val="4C1B2032"/>
    <w:rsid w:val="4C4105CF"/>
    <w:rsid w:val="4C4E0DDC"/>
    <w:rsid w:val="4C59349D"/>
    <w:rsid w:val="4D5325E2"/>
    <w:rsid w:val="4DDC52F3"/>
    <w:rsid w:val="4DFE06B2"/>
    <w:rsid w:val="4E21448E"/>
    <w:rsid w:val="4E360841"/>
    <w:rsid w:val="4E372E33"/>
    <w:rsid w:val="4E487C6D"/>
    <w:rsid w:val="4E7607F1"/>
    <w:rsid w:val="4E9764FE"/>
    <w:rsid w:val="4EE2069C"/>
    <w:rsid w:val="4F0127D6"/>
    <w:rsid w:val="4F1E48E5"/>
    <w:rsid w:val="4FC96D47"/>
    <w:rsid w:val="4FF97471"/>
    <w:rsid w:val="501C3A12"/>
    <w:rsid w:val="506643DA"/>
    <w:rsid w:val="50BC6D19"/>
    <w:rsid w:val="50C35389"/>
    <w:rsid w:val="50DE5F67"/>
    <w:rsid w:val="522022B5"/>
    <w:rsid w:val="522B3A0C"/>
    <w:rsid w:val="5272350A"/>
    <w:rsid w:val="52C8137C"/>
    <w:rsid w:val="53B91B3A"/>
    <w:rsid w:val="53FB4F29"/>
    <w:rsid w:val="5435659E"/>
    <w:rsid w:val="54752E3E"/>
    <w:rsid w:val="54B723CC"/>
    <w:rsid w:val="54B75204"/>
    <w:rsid w:val="54D67D81"/>
    <w:rsid w:val="54E17ACE"/>
    <w:rsid w:val="54FB14A2"/>
    <w:rsid w:val="55057688"/>
    <w:rsid w:val="554D7917"/>
    <w:rsid w:val="5550664E"/>
    <w:rsid w:val="5557523D"/>
    <w:rsid w:val="55833605"/>
    <w:rsid w:val="558A2919"/>
    <w:rsid w:val="55AC7554"/>
    <w:rsid w:val="569F12FA"/>
    <w:rsid w:val="56C20BE3"/>
    <w:rsid w:val="57482A8C"/>
    <w:rsid w:val="57746636"/>
    <w:rsid w:val="57CC546B"/>
    <w:rsid w:val="596A6CE9"/>
    <w:rsid w:val="597D4C6F"/>
    <w:rsid w:val="5AFE3B8D"/>
    <w:rsid w:val="5B1433B1"/>
    <w:rsid w:val="5B63716B"/>
    <w:rsid w:val="5B6E1A16"/>
    <w:rsid w:val="5BA04C44"/>
    <w:rsid w:val="5BB21C63"/>
    <w:rsid w:val="5BE014E5"/>
    <w:rsid w:val="5BE3631D"/>
    <w:rsid w:val="5BE508A9"/>
    <w:rsid w:val="5C0E2C3B"/>
    <w:rsid w:val="5C2138BE"/>
    <w:rsid w:val="5C2515ED"/>
    <w:rsid w:val="5C4F0418"/>
    <w:rsid w:val="5C8E3027"/>
    <w:rsid w:val="5D0C00B7"/>
    <w:rsid w:val="5DE057CC"/>
    <w:rsid w:val="5E36363E"/>
    <w:rsid w:val="5E457D25"/>
    <w:rsid w:val="5E830E19"/>
    <w:rsid w:val="5EBB66D0"/>
    <w:rsid w:val="5EBB7FE7"/>
    <w:rsid w:val="5ED93E8E"/>
    <w:rsid w:val="5F150845"/>
    <w:rsid w:val="5F5F4E16"/>
    <w:rsid w:val="5FAF3D2D"/>
    <w:rsid w:val="5FB23198"/>
    <w:rsid w:val="5FB863A2"/>
    <w:rsid w:val="5FD70E51"/>
    <w:rsid w:val="6051475F"/>
    <w:rsid w:val="60591866"/>
    <w:rsid w:val="60791F08"/>
    <w:rsid w:val="60DF1F92"/>
    <w:rsid w:val="60EC26DA"/>
    <w:rsid w:val="6126799A"/>
    <w:rsid w:val="617167E5"/>
    <w:rsid w:val="61750B52"/>
    <w:rsid w:val="617973DD"/>
    <w:rsid w:val="618C7D93"/>
    <w:rsid w:val="61B01959"/>
    <w:rsid w:val="61F23D20"/>
    <w:rsid w:val="61F44167"/>
    <w:rsid w:val="623A6A84"/>
    <w:rsid w:val="62C20114"/>
    <w:rsid w:val="63CC1360"/>
    <w:rsid w:val="63D556A7"/>
    <w:rsid w:val="63DD36F2"/>
    <w:rsid w:val="645879BB"/>
    <w:rsid w:val="64713622"/>
    <w:rsid w:val="64754CBD"/>
    <w:rsid w:val="647F5C5E"/>
    <w:rsid w:val="64A34499"/>
    <w:rsid w:val="64D70FAB"/>
    <w:rsid w:val="65112C9F"/>
    <w:rsid w:val="65A215B9"/>
    <w:rsid w:val="65C717C5"/>
    <w:rsid w:val="65DA6FA5"/>
    <w:rsid w:val="660F10B3"/>
    <w:rsid w:val="67564D51"/>
    <w:rsid w:val="677E7B44"/>
    <w:rsid w:val="679338AF"/>
    <w:rsid w:val="67DC109F"/>
    <w:rsid w:val="67EB3250"/>
    <w:rsid w:val="68E85E7D"/>
    <w:rsid w:val="690B2100"/>
    <w:rsid w:val="6922138F"/>
    <w:rsid w:val="693E784B"/>
    <w:rsid w:val="6942733B"/>
    <w:rsid w:val="69805C96"/>
    <w:rsid w:val="699D2428"/>
    <w:rsid w:val="69B817AA"/>
    <w:rsid w:val="69C064B2"/>
    <w:rsid w:val="6A1A3E14"/>
    <w:rsid w:val="6A995680"/>
    <w:rsid w:val="6AE3506D"/>
    <w:rsid w:val="6B0F76F1"/>
    <w:rsid w:val="6B43739A"/>
    <w:rsid w:val="6B581098"/>
    <w:rsid w:val="6BB81B36"/>
    <w:rsid w:val="6C0528A2"/>
    <w:rsid w:val="6C3D278A"/>
    <w:rsid w:val="6C7A4419"/>
    <w:rsid w:val="6D3671B7"/>
    <w:rsid w:val="6D7777CF"/>
    <w:rsid w:val="6DD93FE6"/>
    <w:rsid w:val="6DE44E65"/>
    <w:rsid w:val="6DE60F2E"/>
    <w:rsid w:val="6DED135C"/>
    <w:rsid w:val="6E2B64EF"/>
    <w:rsid w:val="6E3A2CD6"/>
    <w:rsid w:val="6E92162A"/>
    <w:rsid w:val="6EBA5747"/>
    <w:rsid w:val="6EBB0BBA"/>
    <w:rsid w:val="6EFF6FDB"/>
    <w:rsid w:val="6EFF7A7C"/>
    <w:rsid w:val="6F634103"/>
    <w:rsid w:val="700E61C9"/>
    <w:rsid w:val="7030591F"/>
    <w:rsid w:val="70730722"/>
    <w:rsid w:val="70757FF6"/>
    <w:rsid w:val="70F353BF"/>
    <w:rsid w:val="71317458"/>
    <w:rsid w:val="71820EF5"/>
    <w:rsid w:val="71A64E1C"/>
    <w:rsid w:val="72177E12"/>
    <w:rsid w:val="7232250B"/>
    <w:rsid w:val="72F84F0E"/>
    <w:rsid w:val="72FE56F0"/>
    <w:rsid w:val="73043F04"/>
    <w:rsid w:val="73216213"/>
    <w:rsid w:val="73424E40"/>
    <w:rsid w:val="734E60D6"/>
    <w:rsid w:val="73507BCC"/>
    <w:rsid w:val="73D47729"/>
    <w:rsid w:val="742E38E8"/>
    <w:rsid w:val="74485A21"/>
    <w:rsid w:val="75F50835"/>
    <w:rsid w:val="764612B4"/>
    <w:rsid w:val="764C7A4B"/>
    <w:rsid w:val="76FE0A2E"/>
    <w:rsid w:val="77407E24"/>
    <w:rsid w:val="776B3F01"/>
    <w:rsid w:val="77BB3AC3"/>
    <w:rsid w:val="77DE1AD1"/>
    <w:rsid w:val="780A52E1"/>
    <w:rsid w:val="782C3C84"/>
    <w:rsid w:val="78511348"/>
    <w:rsid w:val="785A744C"/>
    <w:rsid w:val="78A91184"/>
    <w:rsid w:val="78BE4153"/>
    <w:rsid w:val="78D05504"/>
    <w:rsid w:val="7A08012D"/>
    <w:rsid w:val="7A560E98"/>
    <w:rsid w:val="7A6C06BC"/>
    <w:rsid w:val="7AFA50A8"/>
    <w:rsid w:val="7B1D7E1E"/>
    <w:rsid w:val="7B2D37ED"/>
    <w:rsid w:val="7B472CC6"/>
    <w:rsid w:val="7B5C2AB9"/>
    <w:rsid w:val="7B9A2223"/>
    <w:rsid w:val="7BFA1CF7"/>
    <w:rsid w:val="7C042B76"/>
    <w:rsid w:val="7C320E22"/>
    <w:rsid w:val="7C88297F"/>
    <w:rsid w:val="7C914409"/>
    <w:rsid w:val="7C991510"/>
    <w:rsid w:val="7CC270BB"/>
    <w:rsid w:val="7CCF4F32"/>
    <w:rsid w:val="7CDC7F18"/>
    <w:rsid w:val="7D07647A"/>
    <w:rsid w:val="7E357016"/>
    <w:rsid w:val="7E374B3D"/>
    <w:rsid w:val="7E437015"/>
    <w:rsid w:val="7E6960ED"/>
    <w:rsid w:val="7E6B6D1F"/>
    <w:rsid w:val="7F5B2AAD"/>
    <w:rsid w:val="7F7E5AC0"/>
    <w:rsid w:val="7F8A15E4"/>
    <w:rsid w:val="7F8E2E82"/>
    <w:rsid w:val="7F9D2967"/>
    <w:rsid w:val="7FA3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7">
    <w:name w:val="Normal Indent"/>
    <w:basedOn w:val="1"/>
    <w:next w:val="1"/>
    <w:autoRedefine/>
    <w:qFormat/>
    <w:uiPriority w:val="0"/>
    <w:pPr>
      <w:ind w:firstLine="420" w:firstLineChars="200"/>
    </w:pPr>
    <w:rPr>
      <w:rFonts w:ascii="Times New Roman" w:hAnsi="Times New Roman" w:eastAsia="宋体"/>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eastAsia="Tahoma"/>
      <w:sz w:val="28"/>
    </w:rPr>
  </w:style>
  <w:style w:type="paragraph" w:styleId="10">
    <w:name w:val="Body Text Indent"/>
    <w:basedOn w:val="1"/>
    <w:autoRedefine/>
    <w:qFormat/>
    <w:uiPriority w:val="0"/>
    <w:pPr>
      <w:tabs>
        <w:tab w:val="left" w:pos="945"/>
        <w:tab w:val="left" w:pos="1155"/>
      </w:tabs>
      <w:ind w:firstLine="435"/>
    </w:pPr>
    <w:rPr>
      <w:rFonts w:ascii="宋体"/>
      <w:sz w:val="24"/>
    </w:rPr>
  </w:style>
  <w:style w:type="paragraph" w:styleId="11">
    <w:name w:val="List 2"/>
    <w:basedOn w:val="1"/>
    <w:autoRedefine/>
    <w:unhideWhenUsed/>
    <w:qFormat/>
    <w:uiPriority w:val="99"/>
    <w:pPr>
      <w:ind w:left="100" w:leftChars="200" w:hanging="200" w:hangingChars="200"/>
      <w:contextualSpacing/>
    </w:pPr>
  </w:style>
  <w:style w:type="paragraph" w:styleId="12">
    <w:name w:val="toc 3"/>
    <w:basedOn w:val="1"/>
    <w:next w:val="1"/>
    <w:autoRedefine/>
    <w:qFormat/>
    <w:uiPriority w:val="0"/>
    <w:pPr>
      <w:ind w:left="840" w:leftChars="400"/>
    </w:pPr>
  </w:style>
  <w:style w:type="paragraph" w:styleId="13">
    <w:name w:val="Plain Text"/>
    <w:basedOn w:val="1"/>
    <w:next w:val="1"/>
    <w:autoRedefine/>
    <w:qFormat/>
    <w:uiPriority w:val="0"/>
    <w:rPr>
      <w:rFonts w:ascii="宋体" w:hAnsi="Courier New" w:eastAsia="宋体" w:cs="Courier New"/>
      <w:szCs w:val="21"/>
    </w:rPr>
  </w:style>
  <w:style w:type="paragraph" w:styleId="14">
    <w:name w:val="Body Text Indent 2"/>
    <w:basedOn w:val="1"/>
    <w:autoRedefine/>
    <w:qFormat/>
    <w:uiPriority w:val="0"/>
    <w:pPr>
      <w:spacing w:line="360" w:lineRule="auto"/>
      <w:ind w:left="1140"/>
    </w:pPr>
    <w:rPr>
      <w:rFonts w:ascii="宋体" w:hAnsi="宋体"/>
      <w:kern w:val="1"/>
      <w:sz w:val="24"/>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envelope return"/>
    <w:basedOn w:val="1"/>
    <w:autoRedefine/>
    <w:qFormat/>
    <w:uiPriority w:val="0"/>
    <w:pPr>
      <w:snapToGrid w:val="0"/>
    </w:pPr>
    <w:rPr>
      <w:rFonts w:ascii="Arial" w:hAnsi="Arial"/>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440" w:lineRule="exact"/>
      <w:jc w:val="center"/>
    </w:pPr>
    <w:rPr>
      <w:rFonts w:ascii="Times New Roman" w:hAnsi="Times New Roman" w:eastAsia="宋体" w:cs="Times New Roman"/>
    </w:rPr>
  </w:style>
  <w:style w:type="paragraph" w:styleId="19">
    <w:name w:val="footnote text"/>
    <w:basedOn w:val="1"/>
    <w:autoRedefine/>
    <w:qFormat/>
    <w:uiPriority w:val="0"/>
    <w:pPr>
      <w:snapToGrid w:val="0"/>
      <w:spacing w:line="360" w:lineRule="auto"/>
      <w:ind w:firstLine="200" w:firstLineChars="200"/>
      <w:jc w:val="left"/>
    </w:pPr>
    <w:rPr>
      <w:rFonts w:eastAsia="仿宋_GB2312"/>
      <w:kern w:val="2"/>
      <w:sz w:val="18"/>
      <w:szCs w:val="18"/>
    </w:rPr>
  </w:style>
  <w:style w:type="paragraph" w:styleId="20">
    <w:name w:val="List 5"/>
    <w:basedOn w:val="1"/>
    <w:autoRedefine/>
    <w:qFormat/>
    <w:uiPriority w:val="0"/>
    <w:pPr>
      <w:ind w:left="2100" w:hanging="420"/>
    </w:pPr>
    <w:rPr>
      <w:rFonts w:eastAsia="楷体_GB2312"/>
      <w:sz w:val="32"/>
      <w:szCs w:val="20"/>
    </w:rPr>
  </w:style>
  <w:style w:type="paragraph" w:styleId="21">
    <w:name w:val="toc 2"/>
    <w:basedOn w:val="1"/>
    <w:next w:val="1"/>
    <w:autoRedefine/>
    <w:qFormat/>
    <w:uiPriority w:val="39"/>
    <w:pPr>
      <w:ind w:left="420" w:leftChars="200"/>
    </w:pPr>
    <w:rPr>
      <w:rFonts w:ascii="Times New Roman" w:hAnsi="Times New Roman" w:eastAsia="宋体" w:cs="Times New Roman"/>
    </w:rPr>
  </w:style>
  <w:style w:type="paragraph" w:styleId="22">
    <w:name w:val="Body Text 2"/>
    <w:basedOn w:val="1"/>
    <w:autoRedefine/>
    <w:qFormat/>
    <w:uiPriority w:val="99"/>
    <w:pPr>
      <w:spacing w:after="120"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4">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5">
    <w:name w:val="Body Text First Indent"/>
    <w:basedOn w:val="9"/>
    <w:next w:val="26"/>
    <w:autoRedefine/>
    <w:qFormat/>
    <w:uiPriority w:val="0"/>
    <w:pPr>
      <w:widowControl/>
      <w:spacing w:after="120" w:afterLines="0"/>
      <w:ind w:firstLine="420" w:firstLineChars="100"/>
      <w:jc w:val="left"/>
    </w:pPr>
    <w:rPr>
      <w:kern w:val="0"/>
      <w:sz w:val="20"/>
    </w:rPr>
  </w:style>
  <w:style w:type="paragraph" w:styleId="26">
    <w:name w:val="Body Text First Indent 2"/>
    <w:basedOn w:val="10"/>
    <w:autoRedefine/>
    <w:qFormat/>
    <w:uiPriority w:val="99"/>
    <w:pPr>
      <w:ind w:firstLine="420"/>
    </w:pPr>
  </w:style>
  <w:style w:type="table" w:styleId="28">
    <w:name w:val="Table Grid"/>
    <w:basedOn w:val="2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basedOn w:val="29"/>
    <w:autoRedefine/>
    <w:qFormat/>
    <w:uiPriority w:val="0"/>
  </w:style>
  <w:style w:type="character" w:styleId="32">
    <w:name w:val="FollowedHyperlink"/>
    <w:basedOn w:val="29"/>
    <w:autoRedefine/>
    <w:qFormat/>
    <w:uiPriority w:val="0"/>
    <w:rPr>
      <w:color w:val="444444"/>
      <w:sz w:val="21"/>
      <w:szCs w:val="21"/>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ascii="monospace" w:hAnsi="monospace" w:eastAsia="monospace" w:cs="monospace"/>
    </w:rPr>
  </w:style>
  <w:style w:type="paragraph" w:customStyle="1" w:styleId="43">
    <w:name w:val="无间隔1"/>
    <w:basedOn w:val="44"/>
    <w:autoRedefine/>
    <w:qFormat/>
    <w:uiPriority w:val="1"/>
    <w:pPr>
      <w:spacing w:line="400" w:lineRule="exact"/>
    </w:pPr>
    <w:rPr>
      <w:sz w:val="24"/>
    </w:rPr>
  </w:style>
  <w:style w:type="paragraph" w:customStyle="1" w:styleId="44">
    <w:name w:val="正文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Default"/>
    <w:basedOn w:val="4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Plain Text1"/>
    <w:basedOn w:val="1"/>
    <w:autoRedefine/>
    <w:qFormat/>
    <w:uiPriority w:val="0"/>
    <w:rPr>
      <w:rFonts w:ascii="宋体" w:hAnsi="Courier New" w:cs="黑体"/>
      <w:szCs w:val="22"/>
    </w:rPr>
  </w:style>
  <w:style w:type="paragraph" w:customStyle="1" w:styleId="47">
    <w:name w:val="style4"/>
    <w:basedOn w:val="1"/>
    <w:next w:val="48"/>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4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9">
    <w:name w:val="样式 标题 2 + Times New Roman 四号 非加粗 段前: 5 磅 段后: 0 磅 行距: 固定值 20..."/>
    <w:basedOn w:val="4"/>
    <w:next w:val="1"/>
    <w:autoRedefine/>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0">
    <w:name w:val="Table Paragraph"/>
    <w:basedOn w:val="1"/>
    <w:autoRedefine/>
    <w:qFormat/>
    <w:uiPriority w:val="0"/>
    <w:rPr>
      <w:rFonts w:ascii="Times New Roman" w:hAnsi="Times New Roman" w:eastAsia="宋体" w:cs="Times New Roman"/>
    </w:rPr>
  </w:style>
  <w:style w:type="paragraph" w:customStyle="1" w:styleId="51">
    <w:name w:val="样式 标题 3 + (中文) 黑体 小四 非加粗 段前: 7.8 磅 段后: 0 磅 行距: 固定值 20 磅"/>
    <w:basedOn w:val="5"/>
    <w:autoRedefine/>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2">
    <w:name w:val="No Spacing"/>
    <w:autoRedefine/>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3">
    <w:name w:val="正文_13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54">
    <w:name w:val="List Paragraph"/>
    <w:basedOn w:val="1"/>
    <w:autoRedefine/>
    <w:qFormat/>
    <w:uiPriority w:val="99"/>
    <w:pPr>
      <w:ind w:firstLine="420" w:firstLineChars="200"/>
    </w:pPr>
  </w:style>
  <w:style w:type="character" w:customStyle="1" w:styleId="55">
    <w:name w:val="hover15"/>
    <w:basedOn w:val="29"/>
    <w:autoRedefine/>
    <w:qFormat/>
    <w:uiPriority w:val="0"/>
  </w:style>
  <w:style w:type="character" w:customStyle="1" w:styleId="56">
    <w:name w:val="mini-outputtext1"/>
    <w:basedOn w:val="29"/>
    <w:autoRedefine/>
    <w:qFormat/>
    <w:uiPriority w:val="0"/>
  </w:style>
  <w:style w:type="character" w:customStyle="1" w:styleId="57">
    <w:name w:val="font31"/>
    <w:basedOn w:val="29"/>
    <w:autoRedefine/>
    <w:qFormat/>
    <w:uiPriority w:val="0"/>
    <w:rPr>
      <w:rFonts w:ascii="宋体" w:hAnsi="宋体" w:eastAsia="宋体" w:cs="宋体"/>
      <w:b/>
      <w:bCs/>
      <w:color w:val="000000"/>
      <w:sz w:val="36"/>
      <w:szCs w:val="36"/>
      <w:u w:val="none"/>
    </w:rPr>
  </w:style>
  <w:style w:type="character" w:customStyle="1" w:styleId="58">
    <w:name w:val="font41"/>
    <w:basedOn w:val="29"/>
    <w:autoRedefine/>
    <w:qFormat/>
    <w:uiPriority w:val="0"/>
    <w:rPr>
      <w:rFonts w:ascii="宋体" w:hAnsi="宋体" w:eastAsia="宋体" w:cs="宋体"/>
      <w:color w:val="000000"/>
      <w:sz w:val="16"/>
      <w:szCs w:val="16"/>
      <w:u w:val="none"/>
    </w:rPr>
  </w:style>
  <w:style w:type="character" w:customStyle="1" w:styleId="59">
    <w:name w:val="font51"/>
    <w:basedOn w:val="29"/>
    <w:autoRedefine/>
    <w:qFormat/>
    <w:uiPriority w:val="0"/>
    <w:rPr>
      <w:rFonts w:ascii="宋体" w:hAnsi="宋体" w:eastAsia="宋体" w:cs="宋体"/>
      <w:b/>
      <w:bCs/>
      <w:color w:val="000000"/>
      <w:sz w:val="24"/>
      <w:szCs w:val="24"/>
      <w:u w:val="none"/>
    </w:rPr>
  </w:style>
  <w:style w:type="character" w:customStyle="1" w:styleId="60">
    <w:name w:val="font61"/>
    <w:basedOn w:val="29"/>
    <w:autoRedefine/>
    <w:qFormat/>
    <w:uiPriority w:val="0"/>
    <w:rPr>
      <w:rFonts w:ascii="宋体" w:hAnsi="宋体" w:eastAsia="宋体" w:cs="宋体"/>
      <w:color w:val="000000"/>
      <w:sz w:val="24"/>
      <w:szCs w:val="24"/>
      <w:u w:val="none"/>
    </w:rPr>
  </w:style>
  <w:style w:type="character" w:customStyle="1" w:styleId="61">
    <w:name w:val="font71"/>
    <w:basedOn w:val="29"/>
    <w:autoRedefine/>
    <w:qFormat/>
    <w:uiPriority w:val="0"/>
    <w:rPr>
      <w:rFonts w:ascii="宋体" w:hAnsi="宋体" w:eastAsia="宋体" w:cs="宋体"/>
      <w:b/>
      <w:bCs/>
      <w:color w:val="000000"/>
      <w:sz w:val="16"/>
      <w:szCs w:val="16"/>
      <w:u w:val="none"/>
    </w:rPr>
  </w:style>
  <w:style w:type="paragraph" w:customStyle="1" w:styleId="62">
    <w:name w:val="列出段落1"/>
    <w:basedOn w:val="1"/>
    <w:qFormat/>
    <w:uiPriority w:val="1"/>
    <w:pPr>
      <w:ind w:left="220" w:firstLine="420"/>
    </w:pPr>
  </w:style>
  <w:style w:type="paragraph" w:customStyle="1" w:styleId="63">
    <w:name w:val="p0"/>
    <w:basedOn w:val="1"/>
    <w:qFormat/>
    <w:uiPriority w:val="0"/>
    <w:pPr>
      <w:jc w:val="both"/>
    </w:pPr>
    <w:rPr>
      <w:rFonts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28451</Words>
  <Characters>30016</Characters>
  <Lines>0</Lines>
  <Paragraphs>0</Paragraphs>
  <TotalTime>94</TotalTime>
  <ScaleCrop>false</ScaleCrop>
  <LinksUpToDate>false</LinksUpToDate>
  <CharactersWithSpaces>32884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cp:lastModifiedBy>
  <cp:lastPrinted>2024-10-31T08:08:00Z</cp:lastPrinted>
  <dcterms:modified xsi:type="dcterms:W3CDTF">2025-11-14T07:42:34Z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55989AE012A54A1BAA03F950E80E4196_13</vt:lpwstr>
  </property>
  <property fmtid="{D5CDD505-2E9C-101B-9397-08002B2CF9AE}" pid="4" name="KSOTemplateDocerSaveRecord">
    <vt:lpwstr>eyJoZGlkIjoiOTliMzRlZmE5M2M0YWE5ZTA3MTI3OWJiZDAwMmI5YWYiLCJ1c2VySWQiOiIyODA3OTkwMjUifQ==</vt:lpwstr>
  </property>
</Properties>
</file>