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252EAE">
      <w:pPr>
        <w:pStyle w:val="18"/>
        <w:ind w:left="0"/>
        <w:jc w:val="center"/>
        <w:rPr>
          <w:b/>
          <w:sz w:val="48"/>
        </w:rPr>
      </w:pPr>
      <w:bookmarkStart w:id="558" w:name="_GoBack"/>
      <w:bookmarkEnd w:id="558"/>
      <w:r>
        <w:rPr>
          <w:rFonts w:hint="eastAsia"/>
          <w:b/>
          <w:spacing w:val="-5"/>
          <w:sz w:val="48"/>
          <w:szCs w:val="22"/>
        </w:rPr>
        <w:t>河南医药健康技师学院分析检验实训中心建设项目</w:t>
      </w:r>
    </w:p>
    <w:p w14:paraId="0D9E7A88">
      <w:pPr>
        <w:pStyle w:val="18"/>
        <w:spacing w:before="421"/>
        <w:ind w:left="0"/>
        <w:rPr>
          <w:b/>
          <w:sz w:val="44"/>
        </w:rPr>
      </w:pPr>
    </w:p>
    <w:p w14:paraId="06B7469D">
      <w:pPr>
        <w:pStyle w:val="43"/>
        <w:rPr>
          <w:rFonts w:ascii="宋体" w:hAnsi="宋体" w:eastAsia="宋体"/>
        </w:rPr>
      </w:pPr>
      <w:r>
        <w:rPr>
          <w:rFonts w:ascii="宋体" w:hAnsi="宋体" w:eastAsia="宋体"/>
          <w:spacing w:val="-2"/>
        </w:rPr>
        <w:t>竞争性磋商文件</w:t>
      </w:r>
    </w:p>
    <w:p w14:paraId="02FCC7AB">
      <w:pPr>
        <w:pStyle w:val="4"/>
        <w:spacing w:line="511" w:lineRule="exact"/>
        <w:ind w:right="58"/>
        <w:jc w:val="center"/>
        <w:rPr>
          <w:rFonts w:ascii="宋体" w:hAnsi="宋体" w:eastAsia="宋体"/>
        </w:rPr>
      </w:pPr>
      <w:r>
        <w:rPr>
          <w:rFonts w:ascii="宋体" w:hAnsi="宋体" w:eastAsia="宋体"/>
        </w:rPr>
        <w:t>项目编号：豫财磋商采购-2025-728</w:t>
      </w:r>
      <w:r>
        <w:rPr>
          <w:rFonts w:ascii="宋体" w:hAnsi="宋体" w:eastAsia="宋体"/>
          <w:spacing w:val="-5"/>
        </w:rPr>
        <w:t xml:space="preserve"> </w:t>
      </w:r>
    </w:p>
    <w:p w14:paraId="7E83373A">
      <w:pPr>
        <w:pStyle w:val="18"/>
        <w:ind w:left="0"/>
        <w:rPr>
          <w:b/>
          <w:sz w:val="20"/>
        </w:rPr>
      </w:pPr>
    </w:p>
    <w:p w14:paraId="0F03609D">
      <w:pPr>
        <w:pStyle w:val="18"/>
        <w:ind w:left="0"/>
        <w:rPr>
          <w:b/>
          <w:sz w:val="20"/>
        </w:rPr>
      </w:pPr>
      <w:r>
        <w:drawing>
          <wp:anchor distT="0" distB="0" distL="114300" distR="114300" simplePos="0" relativeHeight="251661312" behindDoc="1" locked="0" layoutInCell="1" allowOverlap="1">
            <wp:simplePos x="0" y="0"/>
            <wp:positionH relativeFrom="margin">
              <wp:align>center</wp:align>
            </wp:positionH>
            <wp:positionV relativeFrom="margin">
              <wp:align>center</wp:align>
            </wp:positionV>
            <wp:extent cx="2729230" cy="2429510"/>
            <wp:effectExtent l="0" t="0" r="0" b="8890"/>
            <wp:wrapSquare wrapText="bothSides"/>
            <wp:docPr id="2" name="图片 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33"/>
                    <pic:cNvPicPr>
                      <a:picLocks noChangeAspect="1"/>
                    </pic:cNvPicPr>
                  </pic:nvPicPr>
                  <pic:blipFill>
                    <a:blip r:embed="rId5"/>
                    <a:stretch>
                      <a:fillRect/>
                    </a:stretch>
                  </pic:blipFill>
                  <pic:spPr>
                    <a:xfrm>
                      <a:off x="0" y="0"/>
                      <a:ext cx="2729230" cy="2429510"/>
                    </a:xfrm>
                    <a:prstGeom prst="rect">
                      <a:avLst/>
                    </a:prstGeom>
                    <a:noFill/>
                    <a:ln>
                      <a:noFill/>
                    </a:ln>
                  </pic:spPr>
                </pic:pic>
              </a:graphicData>
            </a:graphic>
          </wp:anchor>
        </w:drawing>
      </w:r>
    </w:p>
    <w:p w14:paraId="56CC869C">
      <w:pPr>
        <w:pStyle w:val="18"/>
        <w:spacing w:before="110"/>
        <w:ind w:left="0"/>
        <w:rPr>
          <w:b/>
          <w:sz w:val="20"/>
        </w:rPr>
      </w:pPr>
    </w:p>
    <w:p w14:paraId="324A185D">
      <w:pPr>
        <w:pStyle w:val="18"/>
        <w:ind w:left="0"/>
        <w:rPr>
          <w:b/>
          <w:sz w:val="32"/>
        </w:rPr>
      </w:pPr>
    </w:p>
    <w:p w14:paraId="678CC621">
      <w:pPr>
        <w:pStyle w:val="18"/>
        <w:ind w:left="0"/>
        <w:rPr>
          <w:b/>
          <w:sz w:val="32"/>
        </w:rPr>
      </w:pPr>
    </w:p>
    <w:p w14:paraId="191BF3A8">
      <w:pPr>
        <w:pStyle w:val="18"/>
        <w:ind w:left="0"/>
        <w:rPr>
          <w:b/>
          <w:sz w:val="32"/>
        </w:rPr>
      </w:pPr>
    </w:p>
    <w:p w14:paraId="2A4B965C">
      <w:pPr>
        <w:pStyle w:val="18"/>
        <w:ind w:left="0"/>
        <w:rPr>
          <w:b/>
          <w:sz w:val="32"/>
        </w:rPr>
      </w:pPr>
    </w:p>
    <w:p w14:paraId="66AEFE74">
      <w:pPr>
        <w:pStyle w:val="18"/>
        <w:ind w:left="0"/>
        <w:rPr>
          <w:b/>
          <w:sz w:val="32"/>
        </w:rPr>
      </w:pPr>
    </w:p>
    <w:p w14:paraId="0B488141">
      <w:pPr>
        <w:pStyle w:val="18"/>
        <w:ind w:left="0"/>
        <w:rPr>
          <w:b/>
          <w:sz w:val="32"/>
        </w:rPr>
      </w:pPr>
    </w:p>
    <w:p w14:paraId="255BC8AD">
      <w:pPr>
        <w:pStyle w:val="18"/>
        <w:ind w:left="0"/>
        <w:rPr>
          <w:b/>
          <w:sz w:val="32"/>
        </w:rPr>
      </w:pPr>
    </w:p>
    <w:p w14:paraId="5CA0426D">
      <w:pPr>
        <w:pStyle w:val="18"/>
        <w:ind w:left="0"/>
        <w:rPr>
          <w:b/>
          <w:sz w:val="32"/>
        </w:rPr>
      </w:pPr>
    </w:p>
    <w:p w14:paraId="5D8895E3">
      <w:pPr>
        <w:pStyle w:val="18"/>
        <w:ind w:left="0"/>
        <w:rPr>
          <w:b/>
          <w:sz w:val="32"/>
        </w:rPr>
      </w:pPr>
    </w:p>
    <w:p w14:paraId="52ED0EAD">
      <w:pPr>
        <w:pStyle w:val="18"/>
        <w:ind w:left="0"/>
        <w:rPr>
          <w:b/>
          <w:sz w:val="32"/>
        </w:rPr>
      </w:pPr>
    </w:p>
    <w:p w14:paraId="0CCC9AB8">
      <w:pPr>
        <w:pStyle w:val="18"/>
        <w:spacing w:before="260"/>
        <w:ind w:left="0"/>
        <w:rPr>
          <w:b/>
          <w:sz w:val="32"/>
        </w:rPr>
      </w:pPr>
    </w:p>
    <w:p w14:paraId="7ABE0AAB">
      <w:pPr>
        <w:spacing w:before="98" w:line="219" w:lineRule="auto"/>
        <w:ind w:left="2182"/>
        <w:rPr>
          <w:sz w:val="30"/>
          <w:szCs w:val="30"/>
        </w:rPr>
      </w:pPr>
      <w:r>
        <w:rPr>
          <w:b/>
          <w:bCs/>
          <w:spacing w:val="-3"/>
          <w:sz w:val="30"/>
          <w:szCs w:val="30"/>
        </w:rPr>
        <w:t>采</w:t>
      </w:r>
      <w:r>
        <w:rPr>
          <w:spacing w:val="-3"/>
          <w:sz w:val="30"/>
          <w:szCs w:val="30"/>
        </w:rPr>
        <w:t xml:space="preserve"> </w:t>
      </w:r>
      <w:r>
        <w:rPr>
          <w:b/>
          <w:bCs/>
          <w:spacing w:val="-3"/>
          <w:sz w:val="30"/>
          <w:szCs w:val="30"/>
        </w:rPr>
        <w:t>购</w:t>
      </w:r>
      <w:r>
        <w:rPr>
          <w:spacing w:val="-3"/>
          <w:sz w:val="30"/>
          <w:szCs w:val="30"/>
        </w:rPr>
        <w:t xml:space="preserve"> </w:t>
      </w:r>
      <w:r>
        <w:rPr>
          <w:b/>
          <w:bCs/>
          <w:spacing w:val="-3"/>
          <w:sz w:val="30"/>
          <w:szCs w:val="30"/>
        </w:rPr>
        <w:t>人：</w:t>
      </w:r>
      <w:r>
        <w:rPr>
          <w:rFonts w:hint="eastAsia"/>
          <w:b/>
          <w:bCs/>
          <w:spacing w:val="-3"/>
          <w:sz w:val="30"/>
          <w:szCs w:val="30"/>
        </w:rPr>
        <w:t>河南医药健康技师学院</w:t>
      </w:r>
    </w:p>
    <w:p w14:paraId="7E502F4A">
      <w:pPr>
        <w:spacing w:before="247" w:line="219" w:lineRule="auto"/>
        <w:ind w:left="2182"/>
        <w:rPr>
          <w:sz w:val="30"/>
          <w:szCs w:val="30"/>
        </w:rPr>
      </w:pPr>
      <w:r>
        <w:rPr>
          <w:b/>
          <w:bCs/>
          <w:spacing w:val="-3"/>
          <w:sz w:val="30"/>
          <w:szCs w:val="30"/>
        </w:rPr>
        <w:t>代理机构：</w:t>
      </w:r>
      <w:r>
        <w:rPr>
          <w:rFonts w:hint="eastAsia"/>
          <w:b/>
          <w:bCs/>
          <w:spacing w:val="-3"/>
          <w:sz w:val="30"/>
          <w:szCs w:val="30"/>
        </w:rPr>
        <w:t>河南省光大建设管理有限公司</w:t>
      </w:r>
      <w:r>
        <w:rPr>
          <w:sz w:val="30"/>
          <w:szCs w:val="30"/>
        </w:rPr>
        <w:t xml:space="preserve"> </w:t>
      </w:r>
    </w:p>
    <w:p w14:paraId="731EBF98">
      <w:pPr>
        <w:spacing w:before="249" w:line="220" w:lineRule="auto"/>
        <w:ind w:left="2235"/>
        <w:rPr>
          <w:sz w:val="30"/>
          <w:szCs w:val="30"/>
        </w:rPr>
      </w:pPr>
      <w:r>
        <w:rPr>
          <w:b/>
          <w:bCs/>
          <w:spacing w:val="-11"/>
          <w:sz w:val="30"/>
          <w:szCs w:val="30"/>
        </w:rPr>
        <w:t>日</w:t>
      </w:r>
      <w:r>
        <w:rPr>
          <w:spacing w:val="7"/>
          <w:sz w:val="30"/>
          <w:szCs w:val="30"/>
        </w:rPr>
        <w:t xml:space="preserve">    </w:t>
      </w:r>
      <w:r>
        <w:rPr>
          <w:b/>
          <w:bCs/>
          <w:spacing w:val="-11"/>
          <w:sz w:val="30"/>
          <w:szCs w:val="30"/>
        </w:rPr>
        <w:t>期：二〇二五年</w:t>
      </w:r>
      <w:r>
        <w:rPr>
          <w:rFonts w:hint="eastAsia"/>
          <w:b/>
          <w:bCs/>
          <w:spacing w:val="-11"/>
          <w:sz w:val="30"/>
          <w:szCs w:val="30"/>
        </w:rPr>
        <w:t>七</w:t>
      </w:r>
      <w:r>
        <w:rPr>
          <w:b/>
          <w:bCs/>
          <w:spacing w:val="-11"/>
          <w:sz w:val="30"/>
          <w:szCs w:val="30"/>
        </w:rPr>
        <w:t>月</w:t>
      </w:r>
    </w:p>
    <w:p w14:paraId="4F169E99">
      <w:pPr>
        <w:pStyle w:val="4"/>
        <w:spacing w:line="254" w:lineRule="auto"/>
        <w:rPr>
          <w:rFonts w:ascii="宋体" w:hAnsi="宋体" w:eastAsia="宋体"/>
        </w:rPr>
        <w:sectPr>
          <w:type w:val="continuous"/>
          <w:pgSz w:w="11910" w:h="16840"/>
          <w:pgMar w:top="1920" w:right="1700" w:bottom="280" w:left="1700" w:header="720" w:footer="720" w:gutter="0"/>
          <w:cols w:space="720" w:num="1"/>
        </w:sectPr>
      </w:pPr>
    </w:p>
    <w:p w14:paraId="08CDCE38">
      <w:pPr>
        <w:pStyle w:val="5"/>
        <w:tabs>
          <w:tab w:val="left" w:pos="705"/>
        </w:tabs>
        <w:ind w:right="83"/>
        <w:rPr>
          <w:rFonts w:ascii="宋体" w:hAnsi="宋体" w:eastAsia="宋体"/>
        </w:rPr>
      </w:pPr>
      <w:r>
        <w:rPr>
          <w:rFonts w:ascii="宋体" w:hAnsi="宋体" w:eastAsia="宋体"/>
          <w:spacing w:val="-10"/>
        </w:rPr>
        <w:t>目</w:t>
      </w:r>
      <w:r>
        <w:rPr>
          <w:rFonts w:ascii="宋体" w:hAnsi="宋体" w:eastAsia="宋体"/>
        </w:rPr>
        <w:tab/>
      </w:r>
      <w:r>
        <w:rPr>
          <w:rFonts w:ascii="宋体" w:hAnsi="宋体" w:eastAsia="宋体"/>
          <w:spacing w:val="-10"/>
        </w:rPr>
        <w:t>录</w:t>
      </w:r>
    </w:p>
    <w:sdt>
      <w:sdtPr>
        <w:rPr>
          <w:sz w:val="22"/>
          <w:szCs w:val="22"/>
        </w:rPr>
        <w:id w:val="1882822419"/>
        <w:docPartObj>
          <w:docPartGallery w:val="Table of Contents"/>
          <w:docPartUnique/>
        </w:docPartObj>
      </w:sdtPr>
      <w:sdtEndPr>
        <w:rPr>
          <w:sz w:val="22"/>
          <w:szCs w:val="22"/>
        </w:rPr>
      </w:sdtEndPr>
      <w:sdtContent>
        <w:p w14:paraId="5222F835">
          <w:pPr>
            <w:pStyle w:val="32"/>
            <w:tabs>
              <w:tab w:val="left" w:pos="1680"/>
              <w:tab w:val="right" w:leader="dot" w:pos="9785"/>
            </w:tabs>
            <w:rPr>
              <w:rFonts w:asciiTheme="minorHAnsi" w:hAnsiTheme="minorHAnsi" w:eastAsiaTheme="minorEastAsia" w:cstheme="minorBidi"/>
              <w:kern w:val="2"/>
              <w:sz w:val="28"/>
              <w:szCs w:val="28"/>
            </w:rPr>
          </w:pPr>
          <w:r>
            <w:rPr>
              <w:sz w:val="28"/>
              <w:szCs w:val="28"/>
            </w:rPr>
            <w:fldChar w:fldCharType="begin"/>
          </w:r>
          <w:r>
            <w:rPr>
              <w:sz w:val="28"/>
              <w:szCs w:val="28"/>
            </w:rPr>
            <w:instrText xml:space="preserve">TOC \o "1-1" \h \z \u </w:instrText>
          </w:r>
          <w:r>
            <w:rPr>
              <w:sz w:val="28"/>
              <w:szCs w:val="28"/>
            </w:rPr>
            <w:fldChar w:fldCharType="separate"/>
          </w:r>
          <w:r>
            <w:fldChar w:fldCharType="begin"/>
          </w:r>
          <w:r>
            <w:instrText xml:space="preserve"> HYPERLINK \l "_Toc202272252" </w:instrText>
          </w:r>
          <w:r>
            <w:fldChar w:fldCharType="separate"/>
          </w:r>
          <w:r>
            <w:rPr>
              <w:rStyle w:val="56"/>
              <w:sz w:val="28"/>
              <w:szCs w:val="28"/>
            </w:rPr>
            <w:t>第一</w:t>
          </w:r>
          <w:r>
            <w:rPr>
              <w:rStyle w:val="56"/>
              <w:spacing w:val="-10"/>
              <w:sz w:val="28"/>
              <w:szCs w:val="28"/>
            </w:rPr>
            <w:t>章</w:t>
          </w:r>
          <w:r>
            <w:rPr>
              <w:rFonts w:asciiTheme="minorHAnsi" w:hAnsiTheme="minorHAnsi" w:eastAsiaTheme="minorEastAsia" w:cstheme="minorBidi"/>
              <w:kern w:val="2"/>
              <w:sz w:val="28"/>
              <w:szCs w:val="28"/>
            </w:rPr>
            <w:tab/>
          </w:r>
          <w:r>
            <w:rPr>
              <w:rStyle w:val="56"/>
              <w:sz w:val="28"/>
              <w:szCs w:val="28"/>
            </w:rPr>
            <w:t>竞争性磋商公</w:t>
          </w:r>
          <w:r>
            <w:rPr>
              <w:rStyle w:val="56"/>
              <w:spacing w:val="-10"/>
              <w:sz w:val="28"/>
              <w:szCs w:val="28"/>
            </w:rPr>
            <w:t>告</w:t>
          </w:r>
          <w:r>
            <w:rPr>
              <w:sz w:val="28"/>
              <w:szCs w:val="28"/>
            </w:rPr>
            <w:tab/>
          </w:r>
          <w:r>
            <w:rPr>
              <w:sz w:val="28"/>
              <w:szCs w:val="28"/>
            </w:rPr>
            <w:fldChar w:fldCharType="begin"/>
          </w:r>
          <w:r>
            <w:rPr>
              <w:sz w:val="28"/>
              <w:szCs w:val="28"/>
            </w:rPr>
            <w:instrText xml:space="preserve"> PAGEREF _Toc202272252 \h </w:instrText>
          </w:r>
          <w:r>
            <w:rPr>
              <w:sz w:val="28"/>
              <w:szCs w:val="28"/>
            </w:rPr>
            <w:fldChar w:fldCharType="separate"/>
          </w:r>
          <w:r>
            <w:rPr>
              <w:sz w:val="28"/>
              <w:szCs w:val="28"/>
            </w:rPr>
            <w:t>2</w:t>
          </w:r>
          <w:r>
            <w:rPr>
              <w:sz w:val="28"/>
              <w:szCs w:val="28"/>
            </w:rPr>
            <w:fldChar w:fldCharType="end"/>
          </w:r>
          <w:r>
            <w:rPr>
              <w:sz w:val="28"/>
              <w:szCs w:val="28"/>
            </w:rPr>
            <w:fldChar w:fldCharType="end"/>
          </w:r>
        </w:p>
        <w:p w14:paraId="4770394D">
          <w:pPr>
            <w:pStyle w:val="32"/>
            <w:tabs>
              <w:tab w:val="left" w:pos="1680"/>
              <w:tab w:val="right" w:leader="dot" w:pos="9785"/>
            </w:tabs>
            <w:rPr>
              <w:rFonts w:asciiTheme="minorHAnsi" w:hAnsiTheme="minorHAnsi" w:eastAsiaTheme="minorEastAsia" w:cstheme="minorBidi"/>
              <w:kern w:val="2"/>
              <w:sz w:val="28"/>
              <w:szCs w:val="28"/>
            </w:rPr>
          </w:pPr>
          <w:r>
            <w:fldChar w:fldCharType="begin"/>
          </w:r>
          <w:r>
            <w:instrText xml:space="preserve"> HYPERLINK \l "_Toc202272253" </w:instrText>
          </w:r>
          <w:r>
            <w:fldChar w:fldCharType="separate"/>
          </w:r>
          <w:r>
            <w:rPr>
              <w:rStyle w:val="56"/>
              <w:sz w:val="28"/>
              <w:szCs w:val="28"/>
            </w:rPr>
            <w:t>第二</w:t>
          </w:r>
          <w:r>
            <w:rPr>
              <w:rStyle w:val="56"/>
              <w:spacing w:val="-10"/>
              <w:sz w:val="28"/>
              <w:szCs w:val="28"/>
            </w:rPr>
            <w:t>章</w:t>
          </w:r>
          <w:r>
            <w:rPr>
              <w:rFonts w:asciiTheme="minorHAnsi" w:hAnsiTheme="minorHAnsi" w:eastAsiaTheme="minorEastAsia" w:cstheme="minorBidi"/>
              <w:kern w:val="2"/>
              <w:sz w:val="28"/>
              <w:szCs w:val="28"/>
            </w:rPr>
            <w:tab/>
          </w:r>
          <w:r>
            <w:rPr>
              <w:rStyle w:val="56"/>
              <w:sz w:val="28"/>
              <w:szCs w:val="28"/>
            </w:rPr>
            <w:t>供应商须</w:t>
          </w:r>
          <w:r>
            <w:rPr>
              <w:rStyle w:val="56"/>
              <w:spacing w:val="-10"/>
              <w:sz w:val="28"/>
              <w:szCs w:val="28"/>
            </w:rPr>
            <w:t>知</w:t>
          </w:r>
          <w:r>
            <w:rPr>
              <w:sz w:val="28"/>
              <w:szCs w:val="28"/>
            </w:rPr>
            <w:tab/>
          </w:r>
          <w:r>
            <w:rPr>
              <w:sz w:val="28"/>
              <w:szCs w:val="28"/>
            </w:rPr>
            <w:fldChar w:fldCharType="begin"/>
          </w:r>
          <w:r>
            <w:rPr>
              <w:sz w:val="28"/>
              <w:szCs w:val="28"/>
            </w:rPr>
            <w:instrText xml:space="preserve"> PAGEREF _Toc202272253 \h </w:instrText>
          </w:r>
          <w:r>
            <w:rPr>
              <w:sz w:val="28"/>
              <w:szCs w:val="28"/>
            </w:rPr>
            <w:fldChar w:fldCharType="separate"/>
          </w:r>
          <w:r>
            <w:rPr>
              <w:sz w:val="28"/>
              <w:szCs w:val="28"/>
            </w:rPr>
            <w:t>6</w:t>
          </w:r>
          <w:r>
            <w:rPr>
              <w:sz w:val="28"/>
              <w:szCs w:val="28"/>
            </w:rPr>
            <w:fldChar w:fldCharType="end"/>
          </w:r>
          <w:r>
            <w:rPr>
              <w:sz w:val="28"/>
              <w:szCs w:val="28"/>
            </w:rPr>
            <w:fldChar w:fldCharType="end"/>
          </w:r>
        </w:p>
        <w:p w14:paraId="2507579B">
          <w:pPr>
            <w:pStyle w:val="32"/>
            <w:tabs>
              <w:tab w:val="left" w:pos="1680"/>
              <w:tab w:val="right" w:leader="dot" w:pos="9785"/>
            </w:tabs>
            <w:rPr>
              <w:rFonts w:asciiTheme="minorHAnsi" w:hAnsiTheme="minorHAnsi" w:eastAsiaTheme="minorEastAsia" w:cstheme="minorBidi"/>
              <w:kern w:val="2"/>
              <w:sz w:val="28"/>
              <w:szCs w:val="28"/>
            </w:rPr>
          </w:pPr>
          <w:r>
            <w:fldChar w:fldCharType="begin"/>
          </w:r>
          <w:r>
            <w:instrText xml:space="preserve"> HYPERLINK \l "_Toc202272254" </w:instrText>
          </w:r>
          <w:r>
            <w:fldChar w:fldCharType="separate"/>
          </w:r>
          <w:r>
            <w:rPr>
              <w:rStyle w:val="56"/>
              <w:sz w:val="28"/>
              <w:szCs w:val="28"/>
            </w:rPr>
            <w:t>第三</w:t>
          </w:r>
          <w:r>
            <w:rPr>
              <w:rStyle w:val="56"/>
              <w:spacing w:val="-10"/>
              <w:sz w:val="28"/>
              <w:szCs w:val="28"/>
            </w:rPr>
            <w:t>章</w:t>
          </w:r>
          <w:r>
            <w:rPr>
              <w:rFonts w:asciiTheme="minorHAnsi" w:hAnsiTheme="minorHAnsi" w:eastAsiaTheme="minorEastAsia" w:cstheme="minorBidi"/>
              <w:kern w:val="2"/>
              <w:sz w:val="28"/>
              <w:szCs w:val="28"/>
            </w:rPr>
            <w:tab/>
          </w:r>
          <w:r>
            <w:rPr>
              <w:rStyle w:val="56"/>
              <w:sz w:val="28"/>
              <w:szCs w:val="28"/>
            </w:rPr>
            <w:t>评审办法（综合评分法</w:t>
          </w:r>
          <w:r>
            <w:rPr>
              <w:rStyle w:val="56"/>
              <w:spacing w:val="-10"/>
              <w:sz w:val="28"/>
              <w:szCs w:val="28"/>
            </w:rPr>
            <w:t>）</w:t>
          </w:r>
          <w:r>
            <w:rPr>
              <w:sz w:val="28"/>
              <w:szCs w:val="28"/>
            </w:rPr>
            <w:tab/>
          </w:r>
          <w:r>
            <w:rPr>
              <w:sz w:val="28"/>
              <w:szCs w:val="28"/>
            </w:rPr>
            <w:fldChar w:fldCharType="begin"/>
          </w:r>
          <w:r>
            <w:rPr>
              <w:sz w:val="28"/>
              <w:szCs w:val="28"/>
            </w:rPr>
            <w:instrText xml:space="preserve"> PAGEREF _Toc202272254 \h </w:instrText>
          </w:r>
          <w:r>
            <w:rPr>
              <w:sz w:val="28"/>
              <w:szCs w:val="28"/>
            </w:rPr>
            <w:fldChar w:fldCharType="separate"/>
          </w:r>
          <w:r>
            <w:rPr>
              <w:sz w:val="28"/>
              <w:szCs w:val="28"/>
            </w:rPr>
            <w:t>23</w:t>
          </w:r>
          <w:r>
            <w:rPr>
              <w:sz w:val="28"/>
              <w:szCs w:val="28"/>
            </w:rPr>
            <w:fldChar w:fldCharType="end"/>
          </w:r>
          <w:r>
            <w:rPr>
              <w:sz w:val="28"/>
              <w:szCs w:val="28"/>
            </w:rPr>
            <w:fldChar w:fldCharType="end"/>
          </w:r>
        </w:p>
        <w:p w14:paraId="4EB8F7DA">
          <w:pPr>
            <w:pStyle w:val="32"/>
            <w:tabs>
              <w:tab w:val="left" w:pos="1680"/>
              <w:tab w:val="right" w:leader="dot" w:pos="9785"/>
            </w:tabs>
            <w:rPr>
              <w:rFonts w:asciiTheme="minorHAnsi" w:hAnsiTheme="minorHAnsi" w:eastAsiaTheme="minorEastAsia" w:cstheme="minorBidi"/>
              <w:kern w:val="2"/>
              <w:sz w:val="28"/>
              <w:szCs w:val="28"/>
            </w:rPr>
          </w:pPr>
          <w:r>
            <w:fldChar w:fldCharType="begin"/>
          </w:r>
          <w:r>
            <w:instrText xml:space="preserve"> HYPERLINK \l "_Toc202272255" </w:instrText>
          </w:r>
          <w:r>
            <w:fldChar w:fldCharType="separate"/>
          </w:r>
          <w:r>
            <w:rPr>
              <w:rStyle w:val="56"/>
              <w:sz w:val="28"/>
              <w:szCs w:val="28"/>
            </w:rPr>
            <w:t>第四</w:t>
          </w:r>
          <w:r>
            <w:rPr>
              <w:rStyle w:val="56"/>
              <w:spacing w:val="-10"/>
              <w:sz w:val="28"/>
              <w:szCs w:val="28"/>
            </w:rPr>
            <w:t>章</w:t>
          </w:r>
          <w:r>
            <w:rPr>
              <w:rFonts w:asciiTheme="minorHAnsi" w:hAnsiTheme="minorHAnsi" w:eastAsiaTheme="minorEastAsia" w:cstheme="minorBidi"/>
              <w:kern w:val="2"/>
              <w:sz w:val="28"/>
              <w:szCs w:val="28"/>
            </w:rPr>
            <w:tab/>
          </w:r>
          <w:r>
            <w:rPr>
              <w:rStyle w:val="56"/>
              <w:sz w:val="28"/>
              <w:szCs w:val="28"/>
            </w:rPr>
            <w:t>合同条款及格</w:t>
          </w:r>
          <w:r>
            <w:rPr>
              <w:rStyle w:val="56"/>
              <w:spacing w:val="-10"/>
              <w:sz w:val="28"/>
              <w:szCs w:val="28"/>
            </w:rPr>
            <w:t>式</w:t>
          </w:r>
          <w:r>
            <w:rPr>
              <w:sz w:val="28"/>
              <w:szCs w:val="28"/>
            </w:rPr>
            <w:tab/>
          </w:r>
          <w:r>
            <w:rPr>
              <w:sz w:val="28"/>
              <w:szCs w:val="28"/>
            </w:rPr>
            <w:fldChar w:fldCharType="begin"/>
          </w:r>
          <w:r>
            <w:rPr>
              <w:sz w:val="28"/>
              <w:szCs w:val="28"/>
            </w:rPr>
            <w:instrText xml:space="preserve"> PAGEREF _Toc202272255 \h </w:instrText>
          </w:r>
          <w:r>
            <w:rPr>
              <w:sz w:val="28"/>
              <w:szCs w:val="28"/>
            </w:rPr>
            <w:fldChar w:fldCharType="separate"/>
          </w:r>
          <w:r>
            <w:rPr>
              <w:sz w:val="28"/>
              <w:szCs w:val="28"/>
            </w:rPr>
            <w:t>33</w:t>
          </w:r>
          <w:r>
            <w:rPr>
              <w:sz w:val="28"/>
              <w:szCs w:val="28"/>
            </w:rPr>
            <w:fldChar w:fldCharType="end"/>
          </w:r>
          <w:r>
            <w:rPr>
              <w:sz w:val="28"/>
              <w:szCs w:val="28"/>
            </w:rPr>
            <w:fldChar w:fldCharType="end"/>
          </w:r>
        </w:p>
        <w:p w14:paraId="26662C18">
          <w:pPr>
            <w:pStyle w:val="32"/>
            <w:tabs>
              <w:tab w:val="left" w:pos="1680"/>
              <w:tab w:val="right" w:leader="dot" w:pos="9785"/>
            </w:tabs>
            <w:rPr>
              <w:rFonts w:asciiTheme="minorHAnsi" w:hAnsiTheme="minorHAnsi" w:eastAsiaTheme="minorEastAsia" w:cstheme="minorBidi"/>
              <w:kern w:val="2"/>
              <w:sz w:val="28"/>
              <w:szCs w:val="28"/>
            </w:rPr>
          </w:pPr>
          <w:r>
            <w:fldChar w:fldCharType="begin"/>
          </w:r>
          <w:r>
            <w:instrText xml:space="preserve"> HYPERLINK \l "_Toc202272256" </w:instrText>
          </w:r>
          <w:r>
            <w:fldChar w:fldCharType="separate"/>
          </w:r>
          <w:r>
            <w:rPr>
              <w:rStyle w:val="56"/>
              <w:sz w:val="28"/>
              <w:szCs w:val="28"/>
            </w:rPr>
            <w:t>第五</w:t>
          </w:r>
          <w:r>
            <w:rPr>
              <w:rStyle w:val="56"/>
              <w:spacing w:val="-10"/>
              <w:sz w:val="28"/>
              <w:szCs w:val="28"/>
            </w:rPr>
            <w:t>章</w:t>
          </w:r>
          <w:r>
            <w:rPr>
              <w:rFonts w:asciiTheme="minorHAnsi" w:hAnsiTheme="minorHAnsi" w:eastAsiaTheme="minorEastAsia" w:cstheme="minorBidi"/>
              <w:kern w:val="2"/>
              <w:sz w:val="28"/>
              <w:szCs w:val="28"/>
            </w:rPr>
            <w:tab/>
          </w:r>
          <w:r>
            <w:rPr>
              <w:rStyle w:val="56"/>
              <w:sz w:val="28"/>
              <w:szCs w:val="28"/>
            </w:rPr>
            <w:t>工程量清单及图</w:t>
          </w:r>
          <w:r>
            <w:rPr>
              <w:rStyle w:val="56"/>
              <w:spacing w:val="-10"/>
              <w:sz w:val="28"/>
              <w:szCs w:val="28"/>
            </w:rPr>
            <w:t>纸</w:t>
          </w:r>
          <w:r>
            <w:rPr>
              <w:sz w:val="28"/>
              <w:szCs w:val="28"/>
            </w:rPr>
            <w:tab/>
          </w:r>
          <w:r>
            <w:rPr>
              <w:sz w:val="28"/>
              <w:szCs w:val="28"/>
            </w:rPr>
            <w:fldChar w:fldCharType="begin"/>
          </w:r>
          <w:r>
            <w:rPr>
              <w:sz w:val="28"/>
              <w:szCs w:val="28"/>
            </w:rPr>
            <w:instrText xml:space="preserve"> PAGEREF _Toc202272256 \h </w:instrText>
          </w:r>
          <w:r>
            <w:rPr>
              <w:sz w:val="28"/>
              <w:szCs w:val="28"/>
            </w:rPr>
            <w:fldChar w:fldCharType="separate"/>
          </w:r>
          <w:r>
            <w:rPr>
              <w:sz w:val="28"/>
              <w:szCs w:val="28"/>
            </w:rPr>
            <w:t>49</w:t>
          </w:r>
          <w:r>
            <w:rPr>
              <w:sz w:val="28"/>
              <w:szCs w:val="28"/>
            </w:rPr>
            <w:fldChar w:fldCharType="end"/>
          </w:r>
          <w:r>
            <w:rPr>
              <w:sz w:val="28"/>
              <w:szCs w:val="28"/>
            </w:rPr>
            <w:fldChar w:fldCharType="end"/>
          </w:r>
        </w:p>
        <w:p w14:paraId="71CA61B2">
          <w:pPr>
            <w:pStyle w:val="32"/>
            <w:tabs>
              <w:tab w:val="left" w:pos="1680"/>
              <w:tab w:val="right" w:leader="dot" w:pos="9785"/>
            </w:tabs>
            <w:rPr>
              <w:rFonts w:asciiTheme="minorHAnsi" w:hAnsiTheme="minorHAnsi" w:eastAsiaTheme="minorEastAsia" w:cstheme="minorBidi"/>
              <w:kern w:val="2"/>
              <w:sz w:val="28"/>
              <w:szCs w:val="28"/>
            </w:rPr>
          </w:pPr>
          <w:r>
            <w:fldChar w:fldCharType="begin"/>
          </w:r>
          <w:r>
            <w:instrText xml:space="preserve"> HYPERLINK \l "_Toc202272257" </w:instrText>
          </w:r>
          <w:r>
            <w:fldChar w:fldCharType="separate"/>
          </w:r>
          <w:r>
            <w:rPr>
              <w:rStyle w:val="56"/>
              <w:sz w:val="28"/>
              <w:szCs w:val="28"/>
            </w:rPr>
            <w:t>第六</w:t>
          </w:r>
          <w:r>
            <w:rPr>
              <w:rStyle w:val="56"/>
              <w:spacing w:val="-10"/>
              <w:sz w:val="28"/>
              <w:szCs w:val="28"/>
            </w:rPr>
            <w:t>章</w:t>
          </w:r>
          <w:r>
            <w:rPr>
              <w:rFonts w:asciiTheme="minorHAnsi" w:hAnsiTheme="minorHAnsi" w:eastAsiaTheme="minorEastAsia" w:cstheme="minorBidi"/>
              <w:kern w:val="2"/>
              <w:sz w:val="28"/>
              <w:szCs w:val="28"/>
            </w:rPr>
            <w:tab/>
          </w:r>
          <w:r>
            <w:rPr>
              <w:rStyle w:val="56"/>
              <w:sz w:val="28"/>
              <w:szCs w:val="28"/>
            </w:rPr>
            <w:t>技术标准和要</w:t>
          </w:r>
          <w:r>
            <w:rPr>
              <w:rStyle w:val="56"/>
              <w:spacing w:val="-10"/>
              <w:sz w:val="28"/>
              <w:szCs w:val="28"/>
            </w:rPr>
            <w:t>求</w:t>
          </w:r>
          <w:r>
            <w:rPr>
              <w:sz w:val="28"/>
              <w:szCs w:val="28"/>
            </w:rPr>
            <w:tab/>
          </w:r>
          <w:r>
            <w:rPr>
              <w:sz w:val="28"/>
              <w:szCs w:val="28"/>
            </w:rPr>
            <w:fldChar w:fldCharType="begin"/>
          </w:r>
          <w:r>
            <w:rPr>
              <w:sz w:val="28"/>
              <w:szCs w:val="28"/>
            </w:rPr>
            <w:instrText xml:space="preserve"> PAGEREF _Toc202272257 \h </w:instrText>
          </w:r>
          <w:r>
            <w:rPr>
              <w:sz w:val="28"/>
              <w:szCs w:val="28"/>
            </w:rPr>
            <w:fldChar w:fldCharType="separate"/>
          </w:r>
          <w:r>
            <w:rPr>
              <w:sz w:val="28"/>
              <w:szCs w:val="28"/>
            </w:rPr>
            <w:t>50</w:t>
          </w:r>
          <w:r>
            <w:rPr>
              <w:sz w:val="28"/>
              <w:szCs w:val="28"/>
            </w:rPr>
            <w:fldChar w:fldCharType="end"/>
          </w:r>
          <w:r>
            <w:rPr>
              <w:sz w:val="28"/>
              <w:szCs w:val="28"/>
            </w:rPr>
            <w:fldChar w:fldCharType="end"/>
          </w:r>
        </w:p>
        <w:p w14:paraId="22719712">
          <w:pPr>
            <w:pStyle w:val="32"/>
            <w:tabs>
              <w:tab w:val="left" w:pos="1680"/>
              <w:tab w:val="right" w:leader="dot" w:pos="9785"/>
            </w:tabs>
            <w:rPr>
              <w:rFonts w:asciiTheme="minorHAnsi" w:hAnsiTheme="minorHAnsi" w:eastAsiaTheme="minorEastAsia" w:cstheme="minorBidi"/>
              <w:kern w:val="2"/>
              <w:sz w:val="28"/>
              <w:szCs w:val="28"/>
            </w:rPr>
          </w:pPr>
          <w:r>
            <w:fldChar w:fldCharType="begin"/>
          </w:r>
          <w:r>
            <w:instrText xml:space="preserve"> HYPERLINK \l "_Toc202272258" </w:instrText>
          </w:r>
          <w:r>
            <w:fldChar w:fldCharType="separate"/>
          </w:r>
          <w:r>
            <w:rPr>
              <w:rStyle w:val="56"/>
              <w:sz w:val="28"/>
              <w:szCs w:val="28"/>
            </w:rPr>
            <w:t>第七</w:t>
          </w:r>
          <w:r>
            <w:rPr>
              <w:rStyle w:val="56"/>
              <w:spacing w:val="-10"/>
              <w:sz w:val="28"/>
              <w:szCs w:val="28"/>
            </w:rPr>
            <w:t>章</w:t>
          </w:r>
          <w:r>
            <w:rPr>
              <w:rFonts w:asciiTheme="minorHAnsi" w:hAnsiTheme="minorHAnsi" w:eastAsiaTheme="minorEastAsia" w:cstheme="minorBidi"/>
              <w:kern w:val="2"/>
              <w:sz w:val="28"/>
              <w:szCs w:val="28"/>
            </w:rPr>
            <w:tab/>
          </w:r>
          <w:r>
            <w:rPr>
              <w:rStyle w:val="56"/>
              <w:sz w:val="28"/>
              <w:szCs w:val="28"/>
            </w:rPr>
            <w:t>响应文件格</w:t>
          </w:r>
          <w:r>
            <w:rPr>
              <w:rStyle w:val="56"/>
              <w:spacing w:val="-10"/>
              <w:sz w:val="28"/>
              <w:szCs w:val="28"/>
            </w:rPr>
            <w:t>式</w:t>
          </w:r>
          <w:r>
            <w:rPr>
              <w:sz w:val="28"/>
              <w:szCs w:val="28"/>
            </w:rPr>
            <w:tab/>
          </w:r>
          <w:r>
            <w:rPr>
              <w:sz w:val="28"/>
              <w:szCs w:val="28"/>
            </w:rPr>
            <w:fldChar w:fldCharType="begin"/>
          </w:r>
          <w:r>
            <w:rPr>
              <w:sz w:val="28"/>
              <w:szCs w:val="28"/>
            </w:rPr>
            <w:instrText xml:space="preserve"> PAGEREF _Toc202272258 \h </w:instrText>
          </w:r>
          <w:r>
            <w:rPr>
              <w:sz w:val="28"/>
              <w:szCs w:val="28"/>
            </w:rPr>
            <w:fldChar w:fldCharType="separate"/>
          </w:r>
          <w:r>
            <w:rPr>
              <w:sz w:val="28"/>
              <w:szCs w:val="28"/>
            </w:rPr>
            <w:t>51</w:t>
          </w:r>
          <w:r>
            <w:rPr>
              <w:sz w:val="28"/>
              <w:szCs w:val="28"/>
            </w:rPr>
            <w:fldChar w:fldCharType="end"/>
          </w:r>
          <w:r>
            <w:rPr>
              <w:sz w:val="28"/>
              <w:szCs w:val="28"/>
            </w:rPr>
            <w:fldChar w:fldCharType="end"/>
          </w:r>
        </w:p>
        <w:p w14:paraId="4DD3EE77">
          <w:r>
            <w:rPr>
              <w:sz w:val="28"/>
              <w:szCs w:val="28"/>
            </w:rPr>
            <w:fldChar w:fldCharType="end"/>
          </w:r>
        </w:p>
      </w:sdtContent>
    </w:sdt>
    <w:p w14:paraId="005A25A7">
      <w:pPr>
        <w:sectPr>
          <w:footerReference r:id="rId3" w:type="default"/>
          <w:pgSz w:w="11920" w:h="16850"/>
          <w:pgMar w:top="1420" w:right="992" w:bottom="1100" w:left="1133" w:header="0" w:footer="913" w:gutter="0"/>
          <w:pgNumType w:start="1"/>
          <w:cols w:space="720" w:num="1"/>
        </w:sectPr>
      </w:pPr>
    </w:p>
    <w:p w14:paraId="5C18266E">
      <w:pPr>
        <w:pStyle w:val="2"/>
        <w:tabs>
          <w:tab w:val="left" w:pos="1449"/>
        </w:tabs>
        <w:rPr>
          <w:rFonts w:ascii="宋体" w:hAnsi="宋体" w:eastAsia="宋体"/>
        </w:rPr>
      </w:pPr>
      <w:bookmarkStart w:id="0" w:name="第一章__竞争性磋商公告"/>
      <w:bookmarkEnd w:id="0"/>
      <w:bookmarkStart w:id="1" w:name="_Toc202272252"/>
      <w:r>
        <w:rPr>
          <w:rFonts w:ascii="宋体" w:hAnsi="宋体" w:eastAsia="宋体"/>
        </w:rPr>
        <w:t>第一</w:t>
      </w:r>
      <w:r>
        <w:rPr>
          <w:rFonts w:ascii="宋体" w:hAnsi="宋体" w:eastAsia="宋体"/>
          <w:spacing w:val="-10"/>
        </w:rPr>
        <w:t>章</w:t>
      </w:r>
      <w:r>
        <w:rPr>
          <w:rFonts w:ascii="宋体" w:hAnsi="宋体" w:eastAsia="宋体"/>
        </w:rPr>
        <w:tab/>
      </w:r>
      <w:r>
        <w:rPr>
          <w:rFonts w:ascii="宋体" w:hAnsi="宋体" w:eastAsia="宋体"/>
        </w:rPr>
        <w:t>竞争性磋商公</w:t>
      </w:r>
      <w:r>
        <w:rPr>
          <w:rFonts w:ascii="宋体" w:hAnsi="宋体" w:eastAsia="宋体"/>
          <w:spacing w:val="-10"/>
        </w:rPr>
        <w:t>告</w:t>
      </w:r>
      <w:bookmarkEnd w:id="1"/>
    </w:p>
    <w:p w14:paraId="4D4850D5">
      <w:pPr>
        <w:pStyle w:val="5"/>
        <w:spacing w:before="63" w:line="240" w:lineRule="auto"/>
        <w:ind w:right="156"/>
        <w:rPr>
          <w:rFonts w:ascii="宋体" w:hAnsi="宋体" w:eastAsia="宋体"/>
          <w:spacing w:val="-1"/>
        </w:rPr>
      </w:pPr>
      <w:r>
        <w:rPr>
          <w:rFonts w:ascii="宋体" w:hAnsi="宋体" w:eastAsia="宋体"/>
          <w:spacing w:val="-1"/>
        </w:rPr>
        <w:t>河南医药健康技师学院分析检验实训中心建设项目竞争性磋商公告</w:t>
      </w:r>
    </w:p>
    <w:p w14:paraId="61BA24B9">
      <w:pPr>
        <w:pStyle w:val="5"/>
        <w:spacing w:before="63" w:line="240" w:lineRule="auto"/>
        <w:ind w:right="156"/>
        <w:rPr>
          <w:rFonts w:ascii="宋体" w:hAnsi="宋体" w:eastAsia="宋体"/>
        </w:rPr>
      </w:pPr>
    </w:p>
    <w:p w14:paraId="53E5991F">
      <w:pPr>
        <w:spacing w:line="360" w:lineRule="auto"/>
        <w:ind w:firstLine="440" w:firstLineChars="200"/>
      </w:pPr>
      <w:r>
        <w:t>项目概况</w:t>
      </w:r>
    </w:p>
    <w:p w14:paraId="08FCDE09">
      <w:pPr>
        <w:spacing w:line="360" w:lineRule="auto"/>
        <w:ind w:firstLine="440" w:firstLineChars="200"/>
      </w:pPr>
      <w:r>
        <w:t>河南医药健康技师学院分析检验实训中心建设项目招标项目的潜在投标人应在</w:t>
      </w:r>
      <w:r>
        <w:rPr>
          <w:rFonts w:hint="eastAsia"/>
        </w:rPr>
        <w:t>河南省公共资源交易中心（</w:t>
      </w:r>
      <w:r>
        <w:t>http://hnsggzyjy.henan.gov.cn/）获取招标文件，并于2025年08月05日09时00分（北京时间）前递交响应文件。</w:t>
      </w:r>
    </w:p>
    <w:p w14:paraId="33E2D68D">
      <w:pPr>
        <w:spacing w:line="360" w:lineRule="auto"/>
        <w:ind w:firstLine="442" w:firstLineChars="200"/>
        <w:rPr>
          <w:b/>
        </w:rPr>
      </w:pPr>
      <w:r>
        <w:rPr>
          <w:b/>
        </w:rPr>
        <w:t>一、项目基本情况</w:t>
      </w:r>
    </w:p>
    <w:p w14:paraId="7FB8E3F7">
      <w:pPr>
        <w:spacing w:line="360" w:lineRule="auto"/>
        <w:ind w:firstLine="440" w:firstLineChars="200"/>
      </w:pPr>
      <w:r>
        <w:t xml:space="preserve">1、项目编号：豫财磋商采购-2025-728  </w:t>
      </w:r>
    </w:p>
    <w:p w14:paraId="16591EBA">
      <w:pPr>
        <w:spacing w:line="360" w:lineRule="auto"/>
        <w:ind w:firstLine="440" w:firstLineChars="200"/>
      </w:pPr>
      <w:r>
        <w:t>2、项目名称：河南医药健康技师学院分析检验实训中心建设项目</w:t>
      </w:r>
    </w:p>
    <w:p w14:paraId="58BD0719">
      <w:pPr>
        <w:spacing w:line="360" w:lineRule="auto"/>
        <w:ind w:firstLine="440" w:firstLineChars="200"/>
      </w:pPr>
      <w:r>
        <w:t>3、采购方式：竞争性磋商</w:t>
      </w:r>
    </w:p>
    <w:p w14:paraId="0D8EC417">
      <w:pPr>
        <w:spacing w:line="360" w:lineRule="auto"/>
        <w:ind w:firstLine="440" w:firstLineChars="200"/>
      </w:pPr>
      <w:r>
        <w:t>4、预算金额：1437470.34元最高限价：1437470.34 元</w:t>
      </w:r>
    </w:p>
    <w:tbl>
      <w:tblPr>
        <w:tblStyle w:val="46"/>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42"/>
        <w:gridCol w:w="1198"/>
        <w:gridCol w:w="2399"/>
        <w:gridCol w:w="1288"/>
        <w:gridCol w:w="1283"/>
        <w:gridCol w:w="1185"/>
        <w:gridCol w:w="1533"/>
      </w:tblGrid>
      <w:tr w14:paraId="2445DC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15" w:hRule="atLeast"/>
          <w:jc w:val="center"/>
        </w:trPr>
        <w:tc>
          <w:tcPr>
            <w:tcW w:w="442" w:type="dxa"/>
            <w:vAlign w:val="center"/>
          </w:tcPr>
          <w:p w14:paraId="540F6DDE">
            <w:pPr>
              <w:jc w:val="center"/>
              <w:rPr>
                <w:sz w:val="21"/>
              </w:rPr>
            </w:pPr>
            <w:r>
              <w:rPr>
                <w:sz w:val="21"/>
              </w:rPr>
              <w:t>序号</w:t>
            </w:r>
          </w:p>
        </w:tc>
        <w:tc>
          <w:tcPr>
            <w:tcW w:w="1198" w:type="dxa"/>
            <w:vAlign w:val="center"/>
          </w:tcPr>
          <w:p w14:paraId="6C5086C7">
            <w:pPr>
              <w:jc w:val="center"/>
              <w:rPr>
                <w:sz w:val="21"/>
              </w:rPr>
            </w:pPr>
            <w:r>
              <w:rPr>
                <w:sz w:val="21"/>
              </w:rPr>
              <w:t>包号</w:t>
            </w:r>
          </w:p>
        </w:tc>
        <w:tc>
          <w:tcPr>
            <w:tcW w:w="2399" w:type="dxa"/>
            <w:vAlign w:val="center"/>
          </w:tcPr>
          <w:p w14:paraId="3753A2A9">
            <w:pPr>
              <w:jc w:val="center"/>
              <w:rPr>
                <w:sz w:val="21"/>
              </w:rPr>
            </w:pPr>
            <w:r>
              <w:rPr>
                <w:sz w:val="21"/>
              </w:rPr>
              <w:t>包名称</w:t>
            </w:r>
          </w:p>
        </w:tc>
        <w:tc>
          <w:tcPr>
            <w:tcW w:w="1288" w:type="dxa"/>
            <w:vAlign w:val="center"/>
          </w:tcPr>
          <w:p w14:paraId="2ABE4B4E">
            <w:pPr>
              <w:jc w:val="center"/>
              <w:rPr>
                <w:sz w:val="21"/>
              </w:rPr>
            </w:pPr>
            <w:r>
              <w:rPr>
                <w:sz w:val="21"/>
              </w:rPr>
              <w:t>包预算（元）</w:t>
            </w:r>
          </w:p>
        </w:tc>
        <w:tc>
          <w:tcPr>
            <w:tcW w:w="1283" w:type="dxa"/>
            <w:vAlign w:val="center"/>
          </w:tcPr>
          <w:p w14:paraId="0A4A0EE6">
            <w:pPr>
              <w:jc w:val="center"/>
              <w:rPr>
                <w:sz w:val="21"/>
              </w:rPr>
            </w:pPr>
            <w:r>
              <w:rPr>
                <w:sz w:val="21"/>
              </w:rPr>
              <w:t>包最高限价</w:t>
            </w:r>
          </w:p>
          <w:p w14:paraId="1AED31F9">
            <w:pPr>
              <w:jc w:val="center"/>
              <w:rPr>
                <w:sz w:val="21"/>
              </w:rPr>
            </w:pPr>
            <w:r>
              <w:rPr>
                <w:sz w:val="21"/>
              </w:rPr>
              <w:t>（元）</w:t>
            </w:r>
          </w:p>
        </w:tc>
        <w:tc>
          <w:tcPr>
            <w:tcW w:w="1185" w:type="dxa"/>
            <w:vAlign w:val="center"/>
          </w:tcPr>
          <w:p w14:paraId="61FD5E79">
            <w:pPr>
              <w:jc w:val="center"/>
              <w:rPr>
                <w:sz w:val="21"/>
              </w:rPr>
            </w:pPr>
            <w:r>
              <w:rPr>
                <w:sz w:val="21"/>
              </w:rPr>
              <w:t>是否专门面向中小企业</w:t>
            </w:r>
          </w:p>
        </w:tc>
        <w:tc>
          <w:tcPr>
            <w:tcW w:w="1533" w:type="dxa"/>
            <w:vAlign w:val="center"/>
          </w:tcPr>
          <w:p w14:paraId="3BDEB316">
            <w:pPr>
              <w:jc w:val="center"/>
              <w:rPr>
                <w:sz w:val="21"/>
              </w:rPr>
            </w:pPr>
            <w:r>
              <w:rPr>
                <w:sz w:val="21"/>
              </w:rPr>
              <w:t>采购预留金额</w:t>
            </w:r>
          </w:p>
          <w:p w14:paraId="4A918AB1">
            <w:pPr>
              <w:jc w:val="center"/>
              <w:rPr>
                <w:sz w:val="21"/>
              </w:rPr>
            </w:pPr>
            <w:r>
              <w:rPr>
                <w:sz w:val="21"/>
              </w:rPr>
              <w:t>（元）</w:t>
            </w:r>
          </w:p>
        </w:tc>
      </w:tr>
      <w:tr w14:paraId="2AA429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18" w:hRule="atLeast"/>
          <w:jc w:val="center"/>
        </w:trPr>
        <w:tc>
          <w:tcPr>
            <w:tcW w:w="442" w:type="dxa"/>
            <w:vAlign w:val="center"/>
          </w:tcPr>
          <w:p w14:paraId="250C47EE">
            <w:pPr>
              <w:jc w:val="center"/>
              <w:rPr>
                <w:sz w:val="21"/>
              </w:rPr>
            </w:pPr>
            <w:r>
              <w:rPr>
                <w:sz w:val="21"/>
              </w:rPr>
              <w:t>1</w:t>
            </w:r>
          </w:p>
        </w:tc>
        <w:tc>
          <w:tcPr>
            <w:tcW w:w="1198" w:type="dxa"/>
          </w:tcPr>
          <w:p w14:paraId="5C00A433">
            <w:pPr>
              <w:jc w:val="center"/>
              <w:rPr>
                <w:sz w:val="21"/>
              </w:rPr>
            </w:pPr>
            <w:r>
              <w:rPr>
                <w:rFonts w:hint="eastAsia"/>
                <w:sz w:val="21"/>
              </w:rPr>
              <w:t>豫政采</w:t>
            </w:r>
            <w:r>
              <w:rPr>
                <w:sz w:val="21"/>
              </w:rPr>
              <w:t>(2)20251149-1</w:t>
            </w:r>
          </w:p>
        </w:tc>
        <w:tc>
          <w:tcPr>
            <w:tcW w:w="2399" w:type="dxa"/>
          </w:tcPr>
          <w:p w14:paraId="2755B75E">
            <w:pPr>
              <w:jc w:val="center"/>
              <w:rPr>
                <w:sz w:val="21"/>
              </w:rPr>
            </w:pPr>
            <w:r>
              <w:rPr>
                <w:rFonts w:hint="eastAsia"/>
                <w:sz w:val="21"/>
              </w:rPr>
              <w:t>河南医药健康技师学院分析检验实训中心建设项目</w:t>
            </w:r>
          </w:p>
        </w:tc>
        <w:tc>
          <w:tcPr>
            <w:tcW w:w="1288" w:type="dxa"/>
            <w:vAlign w:val="center"/>
          </w:tcPr>
          <w:p w14:paraId="73C34091">
            <w:pPr>
              <w:jc w:val="center"/>
              <w:rPr>
                <w:sz w:val="21"/>
              </w:rPr>
            </w:pPr>
            <w:r>
              <w:rPr>
                <w:sz w:val="21"/>
              </w:rPr>
              <w:t>1437470.34</w:t>
            </w:r>
          </w:p>
        </w:tc>
        <w:tc>
          <w:tcPr>
            <w:tcW w:w="1283" w:type="dxa"/>
            <w:vAlign w:val="center"/>
          </w:tcPr>
          <w:p w14:paraId="3A847E73">
            <w:pPr>
              <w:jc w:val="center"/>
              <w:rPr>
                <w:sz w:val="21"/>
              </w:rPr>
            </w:pPr>
            <w:r>
              <w:rPr>
                <w:sz w:val="21"/>
              </w:rPr>
              <w:t>1437470.34</w:t>
            </w:r>
          </w:p>
        </w:tc>
        <w:tc>
          <w:tcPr>
            <w:tcW w:w="1185" w:type="dxa"/>
            <w:vAlign w:val="center"/>
          </w:tcPr>
          <w:p w14:paraId="662922B7">
            <w:pPr>
              <w:jc w:val="center"/>
              <w:rPr>
                <w:sz w:val="21"/>
              </w:rPr>
            </w:pPr>
            <w:r>
              <w:rPr>
                <w:sz w:val="21"/>
              </w:rPr>
              <w:t>是</w:t>
            </w:r>
          </w:p>
        </w:tc>
        <w:tc>
          <w:tcPr>
            <w:tcW w:w="1533" w:type="dxa"/>
            <w:vAlign w:val="center"/>
          </w:tcPr>
          <w:p w14:paraId="4AC9D0ED">
            <w:pPr>
              <w:jc w:val="center"/>
              <w:rPr>
                <w:sz w:val="21"/>
              </w:rPr>
            </w:pPr>
            <w:r>
              <w:rPr>
                <w:sz w:val="21"/>
              </w:rPr>
              <w:t>1437470.34</w:t>
            </w:r>
          </w:p>
        </w:tc>
      </w:tr>
    </w:tbl>
    <w:p w14:paraId="01CE075C">
      <w:pPr>
        <w:spacing w:line="360" w:lineRule="auto"/>
        <w:ind w:firstLine="440" w:firstLineChars="200"/>
      </w:pPr>
      <w:r>
        <w:t>5、采购需求</w:t>
      </w:r>
    </w:p>
    <w:p w14:paraId="593B4DD9">
      <w:pPr>
        <w:spacing w:line="360" w:lineRule="auto"/>
        <w:ind w:firstLine="440" w:firstLineChars="200"/>
      </w:pPr>
      <w:r>
        <w:t>5.1、采购内容：本项目磋商文件、</w:t>
      </w:r>
      <w:r>
        <w:rPr>
          <w:rFonts w:hint="eastAsia"/>
        </w:rPr>
        <w:t>图纸、</w:t>
      </w:r>
      <w:r>
        <w:t>工程量清单范围内的全部内容；</w:t>
      </w:r>
    </w:p>
    <w:p w14:paraId="76E1DA52">
      <w:pPr>
        <w:spacing w:line="360" w:lineRule="auto"/>
        <w:ind w:firstLine="440" w:firstLineChars="200"/>
      </w:pPr>
      <w:r>
        <w:t>5.2、项目概况：</w:t>
      </w:r>
      <w:r>
        <w:rPr>
          <w:rFonts w:hint="eastAsia"/>
        </w:rPr>
        <w:t>河南医药健康技师学院分析检验实训中心建设项目，</w:t>
      </w:r>
      <w:r>
        <w:t>主要内容为</w:t>
      </w:r>
      <w:r>
        <w:rPr>
          <w:rFonts w:hint="eastAsia"/>
        </w:rPr>
        <w:t>拆除工程、安装工程及装饰工程等（详见工程量清单）</w:t>
      </w:r>
      <w:r>
        <w:t>；</w:t>
      </w:r>
    </w:p>
    <w:p w14:paraId="7F49CBBC">
      <w:pPr>
        <w:spacing w:line="360" w:lineRule="auto"/>
        <w:ind w:firstLine="440" w:firstLineChars="200"/>
      </w:pPr>
      <w:r>
        <w:t>5.3、计划工期：60 日历天；</w:t>
      </w:r>
    </w:p>
    <w:p w14:paraId="764C597F">
      <w:pPr>
        <w:spacing w:line="360" w:lineRule="auto"/>
        <w:ind w:firstLine="440" w:firstLineChars="200"/>
      </w:pPr>
      <w:r>
        <w:t>5.4、质量标准：达到国家相关部门有关施工质量验收规范的合格标准</w:t>
      </w:r>
      <w:r>
        <w:rPr>
          <w:rFonts w:hint="eastAsia"/>
        </w:rPr>
        <w:t>；</w:t>
      </w:r>
    </w:p>
    <w:p w14:paraId="1DC22E29">
      <w:pPr>
        <w:spacing w:line="360" w:lineRule="auto"/>
        <w:ind w:firstLine="440" w:firstLineChars="200"/>
      </w:pPr>
      <w:r>
        <w:t>5.5、资金来源：财政资金；</w:t>
      </w:r>
    </w:p>
    <w:p w14:paraId="3B003C3C">
      <w:pPr>
        <w:spacing w:line="360" w:lineRule="auto"/>
        <w:ind w:firstLine="440" w:firstLineChars="200"/>
      </w:pPr>
      <w:r>
        <w:t>6、合同履行期限：</w:t>
      </w:r>
      <w:r>
        <w:rPr>
          <w:rFonts w:hint="eastAsia"/>
        </w:rPr>
        <w:t>同工期</w:t>
      </w:r>
    </w:p>
    <w:p w14:paraId="05FED585">
      <w:pPr>
        <w:spacing w:line="360" w:lineRule="auto"/>
        <w:ind w:firstLine="440" w:firstLineChars="200"/>
      </w:pPr>
      <w:r>
        <w:t>7、本项目是否接受联合体投标：否</w:t>
      </w:r>
    </w:p>
    <w:p w14:paraId="3E81DDCA">
      <w:pPr>
        <w:spacing w:line="360" w:lineRule="auto"/>
        <w:ind w:firstLine="440" w:firstLineChars="200"/>
      </w:pPr>
      <w:r>
        <w:t>8、是否接受进口产品：否</w:t>
      </w:r>
    </w:p>
    <w:p w14:paraId="57AF155F">
      <w:pPr>
        <w:spacing w:line="360" w:lineRule="auto"/>
        <w:ind w:firstLine="440" w:firstLineChars="200"/>
      </w:pPr>
      <w:r>
        <w:t>9、是否专门面向中小企业：是</w:t>
      </w:r>
    </w:p>
    <w:p w14:paraId="15C3A67F">
      <w:pPr>
        <w:spacing w:line="360" w:lineRule="auto"/>
        <w:ind w:firstLine="442" w:firstLineChars="200"/>
        <w:rPr>
          <w:b/>
        </w:rPr>
      </w:pPr>
      <w:r>
        <w:rPr>
          <w:b/>
        </w:rPr>
        <w:t>二、申请人资格要求：</w:t>
      </w:r>
    </w:p>
    <w:p w14:paraId="442B3816">
      <w:pPr>
        <w:spacing w:line="360" w:lineRule="auto"/>
        <w:ind w:firstLine="440" w:firstLineChars="200"/>
      </w:pPr>
      <w:r>
        <w:t>1、满足《中华人民共和国政府采购法》第二十二条规定；</w:t>
      </w:r>
    </w:p>
    <w:p w14:paraId="0CBC220A">
      <w:pPr>
        <w:spacing w:line="360" w:lineRule="auto"/>
        <w:ind w:firstLine="440" w:firstLineChars="200"/>
      </w:pPr>
      <w:r>
        <w:t>2、落实政府采购政策满足的资格要求：本项目执行节约能源、保护环境、落实支持创新、绿色发展、扶持不发达地区和少数民族地区、促进中小企业发展、优先采购节能环保产品等政府采购政策。</w:t>
      </w:r>
    </w:p>
    <w:p w14:paraId="0F756C87">
      <w:pPr>
        <w:spacing w:line="360" w:lineRule="auto"/>
        <w:ind w:firstLine="440" w:firstLineChars="200"/>
      </w:pPr>
      <w:r>
        <w:t>3、本项目的特定资格要求</w:t>
      </w:r>
    </w:p>
    <w:p w14:paraId="44CF6171">
      <w:pPr>
        <w:spacing w:line="360" w:lineRule="auto"/>
        <w:ind w:firstLine="440" w:firstLineChars="200"/>
      </w:pPr>
      <w:r>
        <w:rPr>
          <w:rFonts w:hint="eastAsia"/>
        </w:rPr>
        <w:t>3</w:t>
      </w:r>
      <w:r>
        <w:t>.1.供应商须具</w:t>
      </w:r>
      <w:r>
        <w:rPr>
          <w:rFonts w:hint="eastAsia"/>
        </w:rPr>
        <w:t>有</w:t>
      </w:r>
      <w:r>
        <w:t>建设行政主管部门颁发的建筑工程施工总承包三级及以上资质或者建筑装修装饰工程专业承包二级或以上资质，且具有有效的安全生产许可证；</w:t>
      </w:r>
    </w:p>
    <w:p w14:paraId="6412F8A5">
      <w:pPr>
        <w:spacing w:line="360" w:lineRule="auto"/>
        <w:ind w:firstLine="440" w:firstLineChars="200"/>
      </w:pPr>
      <w:r>
        <w:rPr>
          <w:rFonts w:hint="eastAsia"/>
        </w:rPr>
        <w:t>3</w:t>
      </w:r>
      <w:r>
        <w:t>.2.供应商拟派项目经理须具有建筑工程专业二级（含二级）及以上注册建造师执业资格及有效的安全生产考核合格证，且未担任其他在施建设工程项目的项目经理；</w:t>
      </w:r>
    </w:p>
    <w:p w14:paraId="185F6A00">
      <w:pPr>
        <w:spacing w:line="360" w:lineRule="auto"/>
        <w:ind w:firstLine="440" w:firstLineChars="200"/>
      </w:pPr>
      <w:r>
        <w:rPr>
          <w:rFonts w:hint="eastAsia"/>
        </w:rPr>
        <w:t>3</w:t>
      </w:r>
      <w:r>
        <w:t>.3.根据《关于在政府采购活动中查询及使用信用记录有关问题的通知》（财库〔2016〕125号）和豫财购〔2016〕15号的规定，对列入失信被执行人名单、重大税收违法失信主体、政府采购严重违法失信行为记录名单的企业，拒绝参与本项目政府采购活动（查询渠道：“中国执行信息公开网”（zxgk.court.gov.cn/shixin/）查询：失信被执行人名单；“信用中国”网站（www.credi tchina.gov.cn）查询：重大税收违法失信主体名单、“中国政府采购网”（</w:t>
      </w:r>
      <w:r>
        <w:fldChar w:fldCharType="begin"/>
      </w:r>
      <w:r>
        <w:instrText xml:space="preserve"> HYPERLINK "http://www.ccgp.gov.cn/" \h </w:instrText>
      </w:r>
      <w:r>
        <w:fldChar w:fldCharType="separate"/>
      </w:r>
      <w:r>
        <w:rPr>
          <w:rStyle w:val="56"/>
        </w:rPr>
        <w:t>www.ccgp.gov.cn</w:t>
      </w:r>
      <w:r>
        <w:rPr>
          <w:rStyle w:val="56"/>
        </w:rPr>
        <w:fldChar w:fldCharType="end"/>
      </w:r>
      <w:r>
        <w:t>）查询：政府采购严重违法失信行为记录名单）；</w:t>
      </w:r>
    </w:p>
    <w:p w14:paraId="77D6F56B">
      <w:pPr>
        <w:spacing w:line="360" w:lineRule="auto"/>
        <w:ind w:firstLine="440" w:firstLineChars="200"/>
      </w:pPr>
      <w:r>
        <w:t>注：采购代理机构在开标当天将对所有参与本项目投标的供应商信用情况进行查询、打印留存。若在开标当天查询到供应商有相关负面信息的，则该供应商为无效响应。</w:t>
      </w:r>
    </w:p>
    <w:p w14:paraId="3C6612FF">
      <w:pPr>
        <w:spacing w:line="360" w:lineRule="auto"/>
        <w:ind w:firstLine="440" w:firstLineChars="200"/>
      </w:pPr>
      <w:r>
        <w:rPr>
          <w:rFonts w:hint="eastAsia"/>
        </w:rPr>
        <w:t>3</w:t>
      </w:r>
      <w:r>
        <w:t>.4.单位负责人为同一人或者存在直接控股、管理关系的不同供应商，不得参加同一合同项下的政府采购活动，供应商提供承诺书或“国家企业信用信息公示系统”网站查询结果网页截图，查询截图需显示公司基本信息、出资人或股东信息、主要人员信息。</w:t>
      </w:r>
    </w:p>
    <w:p w14:paraId="793E4125">
      <w:pPr>
        <w:spacing w:line="360" w:lineRule="auto"/>
        <w:ind w:firstLine="440" w:firstLineChars="200"/>
      </w:pPr>
      <w:r>
        <w:rPr>
          <w:rFonts w:hint="eastAsia"/>
        </w:rPr>
        <w:t>3</w:t>
      </w:r>
      <w:r>
        <w:t>.5.为采购项目提供整体设计或者项目管理、监理、检测等服务的供应商，不得再参加该采购项目的其他采购活动。</w:t>
      </w:r>
    </w:p>
    <w:p w14:paraId="177FD8D0">
      <w:pPr>
        <w:spacing w:line="360" w:lineRule="auto"/>
        <w:ind w:firstLine="440" w:firstLineChars="200"/>
      </w:pPr>
      <w:r>
        <w:rPr>
          <w:rFonts w:hint="eastAsia"/>
        </w:rPr>
        <w:t>3</w:t>
      </w:r>
      <w:r>
        <w:t>.6.根据《河南省住房和城乡建设厅关于进一步规范建设工程企业资质管理的通知》豫建行规</w:t>
      </w:r>
    </w:p>
    <w:p w14:paraId="1B4A0386">
      <w:pPr>
        <w:spacing w:line="360" w:lineRule="auto"/>
      </w:pPr>
      <w:r>
        <w:t>〔2024〕7 号文件规定，被全国和河南省建筑市场监管公共服务平台标注为资质异常的，供应商不能使用标注异常的资质承揽本工程，具体要求详见通知内容，供应商提供全国建筑市场监管公共服务平台（四库一平台）和河南省建筑市场监管公共服务平台查询截图。</w:t>
      </w:r>
    </w:p>
    <w:p w14:paraId="4B794F15">
      <w:pPr>
        <w:spacing w:line="360" w:lineRule="auto"/>
        <w:ind w:firstLine="442" w:firstLineChars="200"/>
        <w:rPr>
          <w:b/>
        </w:rPr>
      </w:pPr>
      <w:r>
        <w:rPr>
          <w:b/>
        </w:rPr>
        <w:t>三、获取采购文件</w:t>
      </w:r>
    </w:p>
    <w:p w14:paraId="55B450CB">
      <w:pPr>
        <w:spacing w:line="360" w:lineRule="auto"/>
        <w:ind w:firstLine="440" w:firstLineChars="200"/>
      </w:pPr>
      <w:r>
        <w:t>时间：2025年07月21日至2025年07月25日，每天上午00:00至12:00，下午12:00至23:59（北京时间，法定节假日除外。）</w:t>
      </w:r>
    </w:p>
    <w:p w14:paraId="0E91B22D">
      <w:pPr>
        <w:spacing w:line="360" w:lineRule="auto"/>
        <w:ind w:firstLine="440" w:firstLineChars="200"/>
      </w:pPr>
      <w:r>
        <w:t>地点：</w:t>
      </w:r>
      <w:r>
        <w:rPr>
          <w:rFonts w:hint="eastAsia"/>
        </w:rPr>
        <w:t>河南省公共资源交易中心（</w:t>
      </w:r>
      <w:r>
        <w:fldChar w:fldCharType="begin"/>
      </w:r>
      <w:r>
        <w:instrText xml:space="preserve"> HYPERLINK "http://hnsggzyjy.henan.gov.cn/" </w:instrText>
      </w:r>
      <w:r>
        <w:fldChar w:fldCharType="separate"/>
      </w:r>
      <w:r>
        <w:t>http://hnsggzyjy.henan.gov.cn/</w:t>
      </w:r>
      <w:r>
        <w:fldChar w:fldCharType="end"/>
      </w:r>
      <w:r>
        <w:t>）</w:t>
      </w:r>
    </w:p>
    <w:p w14:paraId="47460BF5">
      <w:pPr>
        <w:spacing w:line="360" w:lineRule="auto"/>
        <w:ind w:firstLine="440" w:firstLineChars="200"/>
      </w:pPr>
      <w:r>
        <w:t>方式：凭CA密钥市场主体登录并在规定时间内按网上提示下载采购文件及资料；供应商需要完成信息登记及CA数字证书办理，才能通过省公共资源交易平台交易系统参与交易活动，具体办理事宜请查阅河南省公共资源交易中心网站“办事指南”专区的“新交易平台使用手册（培训资料）”。</w:t>
      </w:r>
    </w:p>
    <w:p w14:paraId="0F42D500">
      <w:pPr>
        <w:spacing w:line="360" w:lineRule="auto"/>
        <w:ind w:firstLine="440" w:firstLineChars="200"/>
      </w:pPr>
      <w:r>
        <w:t>售价：0元</w:t>
      </w:r>
    </w:p>
    <w:p w14:paraId="0E9D3509">
      <w:pPr>
        <w:spacing w:line="360" w:lineRule="auto"/>
        <w:ind w:firstLine="442" w:firstLineChars="200"/>
        <w:rPr>
          <w:b/>
        </w:rPr>
      </w:pPr>
      <w:r>
        <w:rPr>
          <w:b/>
        </w:rPr>
        <w:t>四、响应文件提交</w:t>
      </w:r>
    </w:p>
    <w:p w14:paraId="54BEB46E">
      <w:pPr>
        <w:spacing w:line="360" w:lineRule="auto"/>
        <w:ind w:firstLine="440" w:firstLineChars="200"/>
      </w:pPr>
      <w:r>
        <w:t>截止时间：2025年08月05日09时00分（北京时间）</w:t>
      </w:r>
    </w:p>
    <w:p w14:paraId="2253ABCD">
      <w:pPr>
        <w:spacing w:line="360" w:lineRule="auto"/>
        <w:ind w:firstLine="440" w:firstLineChars="200"/>
      </w:pPr>
      <w:r>
        <w:t>地点：河南省公共资源交易中心电子交易平台。各供应商应在响应文件提交截止时间前，通过河南省公共资源交易中心交易系统上传加密的电子投标（响应）文件，加密电子投标（响应）文件逾期上传，采购人不予受理。</w:t>
      </w:r>
    </w:p>
    <w:p w14:paraId="520C374F">
      <w:pPr>
        <w:spacing w:line="360" w:lineRule="auto"/>
        <w:ind w:firstLine="442" w:firstLineChars="200"/>
        <w:rPr>
          <w:b/>
        </w:rPr>
      </w:pPr>
      <w:r>
        <w:rPr>
          <w:b/>
        </w:rPr>
        <w:t>五、响应文件开启</w:t>
      </w:r>
    </w:p>
    <w:p w14:paraId="3C8E32AF">
      <w:pPr>
        <w:spacing w:line="360" w:lineRule="auto"/>
        <w:ind w:firstLine="440" w:firstLineChars="200"/>
      </w:pPr>
      <w:r>
        <w:t>时间：2025年08月05日09时00分（北京时间）</w:t>
      </w:r>
    </w:p>
    <w:p w14:paraId="544E2255">
      <w:pPr>
        <w:spacing w:line="360" w:lineRule="auto"/>
        <w:ind w:firstLine="440" w:firstLineChars="200"/>
      </w:pPr>
      <w:r>
        <w:t>地点：河南省公共资源交易中心远程开标室(</w:t>
      </w:r>
      <w:r>
        <w:rPr>
          <w:rFonts w:hint="eastAsia"/>
        </w:rPr>
        <w:t>五</w:t>
      </w:r>
      <w:r>
        <w:t>)- 5。本项目采用“远程不见面”开标方式，投标人无需到河南省公共资源交易中心现场参加开标会议。投标人应当在招标文件确定的投标截止时间前，登录河南省公共资源交易中心网站（</w:t>
      </w:r>
      <w:r>
        <w:fldChar w:fldCharType="begin"/>
      </w:r>
      <w:r>
        <w:instrText xml:space="preserve"> HYPERLINK "http://hnsggzyjy.henan.gov.cn/" \h </w:instrText>
      </w:r>
      <w:r>
        <w:fldChar w:fldCharType="separate"/>
      </w:r>
      <w:r>
        <w:t>http://hnsggzyjy.henan.gov.cn/</w:t>
      </w:r>
      <w:r>
        <w:fldChar w:fldCharType="end"/>
      </w:r>
      <w:r>
        <w:t>），点击不见面开标大厅入口，在线准时参加开标活动并进行投标文件解密、答疑澄清等</w:t>
      </w:r>
    </w:p>
    <w:p w14:paraId="2FFDCF09">
      <w:pPr>
        <w:spacing w:line="360" w:lineRule="auto"/>
        <w:ind w:firstLine="442" w:firstLineChars="200"/>
        <w:rPr>
          <w:b/>
        </w:rPr>
      </w:pPr>
      <w:r>
        <w:rPr>
          <w:b/>
        </w:rPr>
        <w:t>六、发布公告的媒介及招标公告期限</w:t>
      </w:r>
    </w:p>
    <w:p w14:paraId="37ABF0D6">
      <w:pPr>
        <w:spacing w:line="360" w:lineRule="auto"/>
        <w:ind w:firstLine="440" w:firstLineChars="200"/>
      </w:pPr>
      <w:r>
        <w:t>本次招标公告在《河南省政府采购网》《河南省公共资源交易中心》上发布，招标公告期限为三个工作日。</w:t>
      </w:r>
    </w:p>
    <w:p w14:paraId="4AB4F4A8">
      <w:pPr>
        <w:spacing w:line="360" w:lineRule="auto"/>
        <w:ind w:firstLine="442" w:firstLineChars="200"/>
        <w:rPr>
          <w:b/>
        </w:rPr>
      </w:pPr>
      <w:r>
        <w:rPr>
          <w:b/>
        </w:rPr>
        <w:t>七、其他补充事宜</w:t>
      </w:r>
    </w:p>
    <w:p w14:paraId="02D3054D">
      <w:pPr>
        <w:spacing w:line="360" w:lineRule="auto"/>
        <w:ind w:firstLine="440" w:firstLineChars="200"/>
      </w:pPr>
      <w:r>
        <w:t>本项目采用“远程不见面”开标方式，供应商无需到河南省公共资源交易中心现场参加开标会议及递交纸质投标（响应）文件，无需到达现场提交原件资料。供应商应当在采购文件确定的截止时间前，登录河南省不见面开标大厅系统（</w:t>
      </w:r>
      <w:r>
        <w:fldChar w:fldCharType="begin"/>
      </w:r>
      <w:r>
        <w:instrText xml:space="preserve"> HYPERLINK "http://hnsggzyjy.henan.gov.cn/BidOpening/bidop" \h </w:instrText>
      </w:r>
      <w:r>
        <w:fldChar w:fldCharType="separate"/>
      </w:r>
      <w:r>
        <w:t>http://hnsggzyjy.henan.gov.cn/BidOpening/bidop</w:t>
      </w:r>
      <w:r>
        <w:fldChar w:fldCharType="end"/>
      </w:r>
      <w:r>
        <w:t xml:space="preserve"> eninghallaction/hall/login），在线准时参加开标活动并进行投标（响应）文件解密、答疑澄清等。</w:t>
      </w:r>
    </w:p>
    <w:p w14:paraId="1D74F5F0">
      <w:pPr>
        <w:spacing w:line="360" w:lineRule="auto"/>
        <w:ind w:firstLine="440" w:firstLineChars="200"/>
      </w:pPr>
      <w:r>
        <w:rPr>
          <w:rFonts w:hint="eastAsia"/>
        </w:rPr>
        <w:t>本项目执行《政府采购促进中小企业发展管理办法》</w:t>
      </w:r>
      <w:r>
        <w:t>[财库（2020）46 号]；</w:t>
      </w:r>
    </w:p>
    <w:p w14:paraId="40122E65">
      <w:pPr>
        <w:spacing w:line="360" w:lineRule="auto"/>
        <w:ind w:firstLine="440" w:firstLineChars="200"/>
      </w:pPr>
      <w:r>
        <w:rPr>
          <w:rFonts w:hint="eastAsia"/>
        </w:rPr>
        <w:t>本项目执行《关于进一步加大政府采购支持中小企业力度的通知》财库〔</w:t>
      </w:r>
      <w:r>
        <w:t>2022〕19 号；</w:t>
      </w:r>
    </w:p>
    <w:p w14:paraId="4D7CEFB4">
      <w:pPr>
        <w:spacing w:line="360" w:lineRule="auto"/>
        <w:ind w:firstLine="440" w:firstLineChars="200"/>
      </w:pPr>
      <w:r>
        <w:rPr>
          <w:rFonts w:hint="eastAsia"/>
        </w:rPr>
        <w:t>本项目执行《河南省财政厅关于进一步做好政府采购支持中小企业发展有关事项的通知》</w:t>
      </w:r>
      <w:r>
        <w:t xml:space="preserve"> 豫财购〔2022〕5 号；</w:t>
      </w:r>
    </w:p>
    <w:p w14:paraId="440299B4">
      <w:pPr>
        <w:spacing w:line="360" w:lineRule="auto"/>
        <w:ind w:firstLine="440" w:firstLineChars="200"/>
      </w:pPr>
      <w:r>
        <w:t>本项目执行《财政部、司法部关于政府采购支持监狱企业发展有关问题的通知》（财库 [2014]68 号）；</w:t>
      </w:r>
    </w:p>
    <w:p w14:paraId="77DA037E">
      <w:pPr>
        <w:spacing w:line="360" w:lineRule="auto"/>
        <w:ind w:firstLine="440" w:firstLineChars="200"/>
      </w:pPr>
      <w:r>
        <w:t>本项目执行《三部门联合发布关于促进残疾人就业政府采购政策的通知》（财库[2017]141号）；</w:t>
      </w:r>
    </w:p>
    <w:p w14:paraId="30D80F8F">
      <w:pPr>
        <w:spacing w:line="360" w:lineRule="auto"/>
        <w:ind w:firstLine="440" w:firstLineChars="200"/>
      </w:pPr>
      <w:r>
        <w:t>本项目执行关于印发节能产品政府采购品目清单的通知（财库〔2019〕19 号）；</w:t>
      </w:r>
    </w:p>
    <w:p w14:paraId="10881C3B">
      <w:pPr>
        <w:spacing w:line="360" w:lineRule="auto"/>
        <w:ind w:firstLine="440" w:firstLineChars="200"/>
      </w:pPr>
      <w:r>
        <w:t>本项目执行关于印发环境标志产品政府采购品目清单的通知（财库〔2019〕18 号）。</w:t>
      </w:r>
    </w:p>
    <w:p w14:paraId="55433A55">
      <w:pPr>
        <w:spacing w:line="360" w:lineRule="auto"/>
        <w:ind w:firstLine="440" w:firstLineChars="200"/>
      </w:pPr>
      <w:r>
        <w:rPr>
          <w:rFonts w:hint="eastAsia"/>
        </w:rPr>
        <w:t>本项目招标代理服务费按照豫招协</w:t>
      </w:r>
      <w:r>
        <w:t>[2023]002号《河南省招标代理服务收费指导意见》的规定计取，由成交人领取成交通知书时向采购代理机构支付。</w:t>
      </w:r>
    </w:p>
    <w:p w14:paraId="6CD1F86C">
      <w:pPr>
        <w:spacing w:line="360" w:lineRule="auto"/>
        <w:ind w:firstLine="442" w:firstLineChars="200"/>
        <w:rPr>
          <w:b/>
        </w:rPr>
      </w:pPr>
      <w:r>
        <w:rPr>
          <w:b/>
        </w:rPr>
        <w:t>八、凡对本次采购提出询问，请按以下方式联系</w:t>
      </w:r>
    </w:p>
    <w:p w14:paraId="5A250094">
      <w:pPr>
        <w:spacing w:line="360" w:lineRule="auto"/>
        <w:ind w:firstLine="440" w:firstLineChars="200"/>
      </w:pPr>
      <w:r>
        <w:rPr>
          <w:rFonts w:hint="eastAsia"/>
        </w:rPr>
        <w:t>1</w:t>
      </w:r>
      <w:r>
        <w:t>.采购人信息</w:t>
      </w:r>
    </w:p>
    <w:p w14:paraId="1231E217">
      <w:pPr>
        <w:spacing w:line="360" w:lineRule="auto"/>
        <w:ind w:firstLine="440" w:firstLineChars="200"/>
      </w:pPr>
      <w:r>
        <w:rPr>
          <w:rFonts w:hint="eastAsia"/>
        </w:rPr>
        <w:t>名称：河南医药健康技师学院</w:t>
      </w:r>
    </w:p>
    <w:p w14:paraId="6796A597">
      <w:pPr>
        <w:spacing w:line="360" w:lineRule="auto"/>
        <w:ind w:firstLine="440" w:firstLineChars="200"/>
      </w:pPr>
      <w:r>
        <w:rPr>
          <w:rFonts w:hint="eastAsia"/>
        </w:rPr>
        <w:t>地址：开封市开封新区第六大街北段</w:t>
      </w:r>
    </w:p>
    <w:p w14:paraId="20FF7A96">
      <w:pPr>
        <w:spacing w:line="360" w:lineRule="auto"/>
        <w:ind w:firstLine="440" w:firstLineChars="200"/>
      </w:pPr>
      <w:r>
        <w:rPr>
          <w:rFonts w:hint="eastAsia"/>
        </w:rPr>
        <w:t>联系人：赵老师</w:t>
      </w:r>
    </w:p>
    <w:p w14:paraId="3C93DDCF">
      <w:pPr>
        <w:spacing w:line="360" w:lineRule="auto"/>
        <w:ind w:firstLine="440" w:firstLineChars="200"/>
      </w:pPr>
      <w:r>
        <w:rPr>
          <w:rFonts w:hint="eastAsia"/>
        </w:rPr>
        <w:t>联系方式：</w:t>
      </w:r>
      <w:r>
        <w:t>0371-22217116</w:t>
      </w:r>
    </w:p>
    <w:p w14:paraId="620F502D">
      <w:pPr>
        <w:spacing w:line="360" w:lineRule="auto"/>
        <w:ind w:firstLine="440" w:firstLineChars="200"/>
      </w:pPr>
      <w:r>
        <w:rPr>
          <w:rFonts w:hint="eastAsia"/>
        </w:rPr>
        <w:t>2</w:t>
      </w:r>
      <w:r>
        <w:t>.采购代理机构信息</w:t>
      </w:r>
    </w:p>
    <w:p w14:paraId="6EC54C86">
      <w:pPr>
        <w:spacing w:line="360" w:lineRule="auto"/>
        <w:ind w:firstLine="440" w:firstLineChars="200"/>
      </w:pPr>
      <w:r>
        <w:rPr>
          <w:rFonts w:hint="eastAsia"/>
        </w:rPr>
        <w:t>名称：河南省光大建设管理有限公司</w:t>
      </w:r>
    </w:p>
    <w:p w14:paraId="6A004AB0">
      <w:pPr>
        <w:spacing w:line="360" w:lineRule="auto"/>
        <w:ind w:firstLine="440" w:firstLineChars="200"/>
      </w:pPr>
      <w:r>
        <w:rPr>
          <w:rFonts w:hint="eastAsia"/>
        </w:rPr>
        <w:t>联系地址：郑州市北三环与中州大道交叉口西</w:t>
      </w:r>
      <w:r>
        <w:t xml:space="preserve"> 500 米路北经三名筑9号楼10楼</w:t>
      </w:r>
    </w:p>
    <w:p w14:paraId="1CD8BE78">
      <w:pPr>
        <w:spacing w:line="360" w:lineRule="auto"/>
        <w:ind w:firstLine="440" w:firstLineChars="200"/>
      </w:pPr>
      <w:bookmarkStart w:id="2" w:name="_Hlk202268427"/>
      <w:r>
        <w:rPr>
          <w:rFonts w:hint="eastAsia"/>
        </w:rPr>
        <w:t>联系人：李女士</w:t>
      </w:r>
    </w:p>
    <w:p w14:paraId="0D4F5E9A">
      <w:pPr>
        <w:spacing w:line="360" w:lineRule="auto"/>
        <w:ind w:firstLine="440" w:firstLineChars="200"/>
      </w:pPr>
      <w:r>
        <w:rPr>
          <w:rFonts w:hint="eastAsia"/>
        </w:rPr>
        <w:t>联系方式：</w:t>
      </w:r>
      <w:r>
        <w:t>15649093413</w:t>
      </w:r>
      <w:r>
        <w:rPr>
          <w:rFonts w:hint="eastAsia"/>
        </w:rPr>
        <w:t>、</w:t>
      </w:r>
      <w:r>
        <w:t xml:space="preserve">0371-86610696  </w:t>
      </w:r>
    </w:p>
    <w:bookmarkEnd w:id="2"/>
    <w:p w14:paraId="1DADA647">
      <w:pPr>
        <w:spacing w:line="360" w:lineRule="auto"/>
        <w:ind w:firstLine="440" w:firstLineChars="200"/>
      </w:pPr>
      <w:r>
        <w:rPr>
          <w:rFonts w:hint="eastAsia"/>
        </w:rPr>
        <w:t>3</w:t>
      </w:r>
      <w:r>
        <w:t>.项目联系方式</w:t>
      </w:r>
    </w:p>
    <w:p w14:paraId="24E58812">
      <w:pPr>
        <w:spacing w:line="360" w:lineRule="auto"/>
        <w:ind w:firstLine="440" w:firstLineChars="200"/>
      </w:pPr>
      <w:r>
        <w:rPr>
          <w:rFonts w:hint="eastAsia"/>
        </w:rPr>
        <w:t>联系人：李女士</w:t>
      </w:r>
    </w:p>
    <w:p w14:paraId="13DF56CD">
      <w:pPr>
        <w:spacing w:line="360" w:lineRule="auto"/>
        <w:ind w:firstLine="440" w:firstLineChars="200"/>
      </w:pPr>
      <w:r>
        <w:rPr>
          <w:rFonts w:hint="eastAsia"/>
        </w:rPr>
        <w:t>联系方式：</w:t>
      </w:r>
      <w:r>
        <w:t>15649093413</w:t>
      </w:r>
      <w:r>
        <w:rPr>
          <w:rFonts w:hint="eastAsia"/>
        </w:rPr>
        <w:t>、</w:t>
      </w:r>
      <w:r>
        <w:t xml:space="preserve">0371-86610696  </w:t>
      </w:r>
    </w:p>
    <w:p w14:paraId="21BBDB67">
      <w:pPr>
        <w:spacing w:line="360" w:lineRule="auto"/>
        <w:ind w:firstLine="440" w:firstLineChars="200"/>
      </w:pPr>
    </w:p>
    <w:p w14:paraId="2C73C938">
      <w:pPr>
        <w:spacing w:line="360" w:lineRule="auto"/>
        <w:ind w:firstLine="440" w:firstLineChars="200"/>
      </w:pPr>
    </w:p>
    <w:p w14:paraId="3D5CC431">
      <w:pPr>
        <w:spacing w:line="360" w:lineRule="auto"/>
        <w:ind w:firstLine="440" w:firstLineChars="200"/>
      </w:pPr>
    </w:p>
    <w:p w14:paraId="6B1C4823">
      <w:pPr>
        <w:spacing w:line="360" w:lineRule="auto"/>
        <w:ind w:firstLine="440" w:firstLineChars="200"/>
      </w:pPr>
    </w:p>
    <w:p w14:paraId="2B8EAA09">
      <w:pPr>
        <w:spacing w:line="360" w:lineRule="auto"/>
        <w:ind w:firstLine="440" w:firstLineChars="200"/>
      </w:pPr>
    </w:p>
    <w:p w14:paraId="3513BCD5">
      <w:pPr>
        <w:spacing w:line="360" w:lineRule="auto"/>
        <w:ind w:firstLine="440" w:firstLineChars="200"/>
      </w:pPr>
    </w:p>
    <w:p w14:paraId="0F867793">
      <w:pPr>
        <w:spacing w:line="360" w:lineRule="auto"/>
        <w:ind w:firstLine="440" w:firstLineChars="200"/>
      </w:pPr>
    </w:p>
    <w:p w14:paraId="4C0D1C1D">
      <w:pPr>
        <w:spacing w:line="360" w:lineRule="auto"/>
        <w:ind w:firstLine="440" w:firstLineChars="200"/>
      </w:pPr>
    </w:p>
    <w:p w14:paraId="7048D644">
      <w:pPr>
        <w:spacing w:line="360" w:lineRule="auto"/>
        <w:ind w:firstLine="440" w:firstLineChars="200"/>
      </w:pPr>
    </w:p>
    <w:p w14:paraId="1B0178E7">
      <w:pPr>
        <w:spacing w:line="360" w:lineRule="auto"/>
        <w:ind w:firstLine="440" w:firstLineChars="200"/>
      </w:pPr>
    </w:p>
    <w:p w14:paraId="574988CE">
      <w:pPr>
        <w:spacing w:line="360" w:lineRule="auto"/>
        <w:ind w:firstLine="440" w:firstLineChars="200"/>
      </w:pPr>
    </w:p>
    <w:p w14:paraId="1DABE14B">
      <w:pPr>
        <w:spacing w:line="360" w:lineRule="auto"/>
        <w:ind w:firstLine="440" w:firstLineChars="200"/>
      </w:pPr>
    </w:p>
    <w:p w14:paraId="3D61DC6A">
      <w:pPr>
        <w:spacing w:line="360" w:lineRule="auto"/>
        <w:ind w:firstLine="440" w:firstLineChars="200"/>
      </w:pPr>
    </w:p>
    <w:p w14:paraId="2EEF501D">
      <w:pPr>
        <w:spacing w:line="360" w:lineRule="auto"/>
        <w:ind w:firstLine="440" w:firstLineChars="200"/>
      </w:pPr>
    </w:p>
    <w:p w14:paraId="56629EC0">
      <w:pPr>
        <w:spacing w:line="360" w:lineRule="auto"/>
        <w:ind w:firstLine="440" w:firstLineChars="200"/>
      </w:pPr>
    </w:p>
    <w:p w14:paraId="38C6067A">
      <w:pPr>
        <w:spacing w:line="360" w:lineRule="auto"/>
        <w:ind w:firstLine="440" w:firstLineChars="200"/>
      </w:pPr>
    </w:p>
    <w:p w14:paraId="30BE94A7">
      <w:pPr>
        <w:spacing w:line="360" w:lineRule="auto"/>
        <w:ind w:firstLine="440" w:firstLineChars="200"/>
      </w:pPr>
    </w:p>
    <w:p w14:paraId="386D779E">
      <w:pPr>
        <w:spacing w:line="360" w:lineRule="auto"/>
        <w:ind w:firstLine="440" w:firstLineChars="200"/>
      </w:pPr>
    </w:p>
    <w:p w14:paraId="4B6C3201">
      <w:pPr>
        <w:spacing w:line="360" w:lineRule="auto"/>
        <w:ind w:firstLine="440" w:firstLineChars="200"/>
      </w:pPr>
    </w:p>
    <w:p w14:paraId="59EF47C4">
      <w:pPr>
        <w:spacing w:line="360" w:lineRule="auto"/>
        <w:ind w:firstLine="440" w:firstLineChars="200"/>
      </w:pPr>
    </w:p>
    <w:p w14:paraId="24D139FA">
      <w:pPr>
        <w:spacing w:line="360" w:lineRule="auto"/>
        <w:ind w:firstLine="440" w:firstLineChars="200"/>
      </w:pPr>
    </w:p>
    <w:p w14:paraId="3726E947">
      <w:pPr>
        <w:spacing w:line="360" w:lineRule="auto"/>
        <w:ind w:firstLine="440" w:firstLineChars="200"/>
      </w:pPr>
    </w:p>
    <w:p w14:paraId="571A4B57">
      <w:pPr>
        <w:spacing w:line="360" w:lineRule="auto"/>
        <w:ind w:firstLine="440" w:firstLineChars="200"/>
      </w:pPr>
    </w:p>
    <w:p w14:paraId="00ECFB46">
      <w:pPr>
        <w:spacing w:line="360" w:lineRule="auto"/>
        <w:ind w:firstLine="440" w:firstLineChars="200"/>
      </w:pPr>
    </w:p>
    <w:p w14:paraId="4A6D1488">
      <w:pPr>
        <w:spacing w:line="360" w:lineRule="auto"/>
        <w:ind w:firstLine="440" w:firstLineChars="200"/>
      </w:pPr>
    </w:p>
    <w:p w14:paraId="669F9B4F">
      <w:pPr>
        <w:spacing w:line="360" w:lineRule="auto"/>
        <w:ind w:firstLine="440" w:firstLineChars="200"/>
      </w:pPr>
    </w:p>
    <w:p w14:paraId="1E255EBC">
      <w:pPr>
        <w:spacing w:line="360" w:lineRule="auto"/>
        <w:ind w:firstLine="440" w:firstLineChars="200"/>
        <w:sectPr>
          <w:pgSz w:w="11920" w:h="16850"/>
          <w:pgMar w:top="1420" w:right="992" w:bottom="1100" w:left="1133" w:header="0" w:footer="913" w:gutter="0"/>
          <w:cols w:space="720" w:num="1"/>
        </w:sectPr>
      </w:pPr>
    </w:p>
    <w:p w14:paraId="550C92F5">
      <w:pPr>
        <w:pStyle w:val="2"/>
        <w:tabs>
          <w:tab w:val="left" w:pos="1449"/>
        </w:tabs>
        <w:ind w:right="87"/>
        <w:rPr>
          <w:rFonts w:ascii="宋体" w:hAnsi="宋体" w:eastAsia="宋体"/>
        </w:rPr>
      </w:pPr>
      <w:bookmarkStart w:id="3" w:name="第二章__供应商须知"/>
      <w:bookmarkEnd w:id="3"/>
      <w:bookmarkStart w:id="4" w:name="_Toc202272253"/>
      <w:r>
        <w:rPr>
          <w:rFonts w:ascii="宋体" w:hAnsi="宋体" w:eastAsia="宋体"/>
        </w:rPr>
        <w:t>第二</w:t>
      </w:r>
      <w:r>
        <w:rPr>
          <w:rFonts w:ascii="宋体" w:hAnsi="宋体" w:eastAsia="宋体"/>
          <w:spacing w:val="-10"/>
        </w:rPr>
        <w:t>章</w:t>
      </w:r>
      <w:r>
        <w:rPr>
          <w:rFonts w:ascii="宋体" w:hAnsi="宋体" w:eastAsia="宋体"/>
        </w:rPr>
        <w:tab/>
      </w:r>
      <w:r>
        <w:rPr>
          <w:rFonts w:ascii="宋体" w:hAnsi="宋体" w:eastAsia="宋体"/>
        </w:rPr>
        <w:t>供应商须</w:t>
      </w:r>
      <w:r>
        <w:rPr>
          <w:rFonts w:ascii="宋体" w:hAnsi="宋体" w:eastAsia="宋体"/>
          <w:spacing w:val="-10"/>
        </w:rPr>
        <w:t>知</w:t>
      </w:r>
      <w:bookmarkEnd w:id="4"/>
    </w:p>
    <w:p w14:paraId="1973F4CA">
      <w:pPr>
        <w:pStyle w:val="5"/>
        <w:spacing w:before="63" w:line="240" w:lineRule="auto"/>
        <w:ind w:right="0"/>
        <w:rPr>
          <w:rFonts w:ascii="宋体" w:hAnsi="宋体" w:eastAsia="宋体"/>
        </w:rPr>
      </w:pPr>
      <w:bookmarkStart w:id="5" w:name="供应商须知前附表"/>
      <w:bookmarkEnd w:id="5"/>
      <w:r>
        <w:rPr>
          <w:rFonts w:ascii="宋体" w:hAnsi="宋体" w:eastAsia="宋体"/>
          <w:spacing w:val="-2"/>
        </w:rPr>
        <w:t>供应商须知前附表</w:t>
      </w:r>
    </w:p>
    <w:p w14:paraId="0E776346">
      <w:pPr>
        <w:pStyle w:val="18"/>
        <w:spacing w:before="14"/>
        <w:ind w:left="0"/>
        <w:rPr>
          <w:b/>
          <w:sz w:val="6"/>
        </w:rPr>
      </w:pPr>
    </w:p>
    <w:tbl>
      <w:tblPr>
        <w:tblStyle w:val="46"/>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82"/>
        <w:gridCol w:w="1575"/>
        <w:gridCol w:w="6714"/>
      </w:tblGrid>
      <w:tr w14:paraId="12DC3C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5" w:hRule="atLeast"/>
          <w:jc w:val="center"/>
        </w:trPr>
        <w:tc>
          <w:tcPr>
            <w:tcW w:w="782" w:type="dxa"/>
            <w:vAlign w:val="center"/>
          </w:tcPr>
          <w:p w14:paraId="6019B30E">
            <w:pPr>
              <w:pStyle w:val="76"/>
              <w:spacing w:before="11"/>
              <w:ind w:left="10"/>
              <w:jc w:val="center"/>
              <w:rPr>
                <w:b/>
                <w:sz w:val="21"/>
              </w:rPr>
            </w:pPr>
            <w:r>
              <w:rPr>
                <w:b/>
                <w:spacing w:val="-4"/>
                <w:sz w:val="21"/>
              </w:rPr>
              <w:t>条款号</w:t>
            </w:r>
          </w:p>
        </w:tc>
        <w:tc>
          <w:tcPr>
            <w:tcW w:w="1575" w:type="dxa"/>
            <w:vAlign w:val="center"/>
          </w:tcPr>
          <w:p w14:paraId="6A32180B">
            <w:pPr>
              <w:pStyle w:val="76"/>
              <w:spacing w:before="11"/>
              <w:ind w:left="14" w:right="5"/>
              <w:jc w:val="center"/>
              <w:rPr>
                <w:b/>
                <w:sz w:val="21"/>
              </w:rPr>
            </w:pPr>
            <w:r>
              <w:rPr>
                <w:b/>
                <w:spacing w:val="-5"/>
                <w:sz w:val="21"/>
              </w:rPr>
              <w:t>项目</w:t>
            </w:r>
          </w:p>
        </w:tc>
        <w:tc>
          <w:tcPr>
            <w:tcW w:w="6714" w:type="dxa"/>
            <w:vAlign w:val="center"/>
          </w:tcPr>
          <w:p w14:paraId="2BBFDF55">
            <w:pPr>
              <w:pStyle w:val="76"/>
              <w:spacing w:before="11"/>
              <w:ind w:left="12"/>
              <w:jc w:val="center"/>
              <w:rPr>
                <w:b/>
                <w:sz w:val="21"/>
              </w:rPr>
            </w:pPr>
            <w:r>
              <w:rPr>
                <w:b/>
                <w:spacing w:val="-5"/>
                <w:sz w:val="21"/>
              </w:rPr>
              <w:t>内容</w:t>
            </w:r>
          </w:p>
        </w:tc>
      </w:tr>
      <w:tr w14:paraId="70EBE5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34" w:hRule="atLeast"/>
          <w:jc w:val="center"/>
        </w:trPr>
        <w:tc>
          <w:tcPr>
            <w:tcW w:w="782" w:type="dxa"/>
            <w:vAlign w:val="center"/>
          </w:tcPr>
          <w:p w14:paraId="1C5B9C92">
            <w:pPr>
              <w:pStyle w:val="76"/>
              <w:ind w:left="10"/>
              <w:jc w:val="center"/>
              <w:rPr>
                <w:sz w:val="21"/>
                <w:szCs w:val="21"/>
              </w:rPr>
            </w:pPr>
            <w:r>
              <w:rPr>
                <w:spacing w:val="-2"/>
                <w:sz w:val="21"/>
                <w:szCs w:val="21"/>
              </w:rPr>
              <w:t>1.1.2</w:t>
            </w:r>
          </w:p>
        </w:tc>
        <w:tc>
          <w:tcPr>
            <w:tcW w:w="1575" w:type="dxa"/>
            <w:vAlign w:val="center"/>
          </w:tcPr>
          <w:p w14:paraId="04CE65B2">
            <w:pPr>
              <w:pStyle w:val="76"/>
              <w:ind w:left="14"/>
              <w:jc w:val="center"/>
              <w:rPr>
                <w:sz w:val="21"/>
                <w:szCs w:val="21"/>
              </w:rPr>
            </w:pPr>
            <w:r>
              <w:rPr>
                <w:spacing w:val="-4"/>
                <w:sz w:val="21"/>
                <w:szCs w:val="21"/>
              </w:rPr>
              <w:t>采购人</w:t>
            </w:r>
          </w:p>
        </w:tc>
        <w:tc>
          <w:tcPr>
            <w:tcW w:w="6714" w:type="dxa"/>
            <w:vAlign w:val="center"/>
          </w:tcPr>
          <w:p w14:paraId="1FCD8D9E">
            <w:pPr>
              <w:pStyle w:val="76"/>
              <w:spacing w:before="3" w:line="360" w:lineRule="auto"/>
              <w:ind w:left="7"/>
              <w:rPr>
                <w:spacing w:val="-3"/>
                <w:sz w:val="21"/>
                <w:szCs w:val="21"/>
              </w:rPr>
            </w:pPr>
            <w:r>
              <w:rPr>
                <w:rFonts w:hint="eastAsia"/>
                <w:spacing w:val="-3"/>
                <w:sz w:val="21"/>
                <w:szCs w:val="21"/>
              </w:rPr>
              <w:t>名称：河南医药健康技师学院</w:t>
            </w:r>
          </w:p>
          <w:p w14:paraId="09BB4EFA">
            <w:pPr>
              <w:pStyle w:val="76"/>
              <w:spacing w:before="3" w:line="360" w:lineRule="auto"/>
              <w:ind w:left="7"/>
              <w:rPr>
                <w:spacing w:val="-3"/>
                <w:sz w:val="21"/>
                <w:szCs w:val="21"/>
              </w:rPr>
            </w:pPr>
            <w:r>
              <w:rPr>
                <w:rFonts w:hint="eastAsia"/>
                <w:spacing w:val="-3"/>
                <w:sz w:val="21"/>
                <w:szCs w:val="21"/>
              </w:rPr>
              <w:t>地址：开封市开封新区第六大街北段</w:t>
            </w:r>
          </w:p>
          <w:p w14:paraId="31DF3713">
            <w:pPr>
              <w:pStyle w:val="76"/>
              <w:spacing w:before="3" w:line="360" w:lineRule="auto"/>
              <w:ind w:left="7"/>
              <w:rPr>
                <w:spacing w:val="-3"/>
                <w:sz w:val="21"/>
                <w:szCs w:val="21"/>
              </w:rPr>
            </w:pPr>
            <w:r>
              <w:rPr>
                <w:rFonts w:hint="eastAsia"/>
                <w:spacing w:val="-3"/>
                <w:sz w:val="21"/>
                <w:szCs w:val="21"/>
              </w:rPr>
              <w:t>联系人：赵老师</w:t>
            </w:r>
          </w:p>
          <w:p w14:paraId="597CE8DB">
            <w:pPr>
              <w:pStyle w:val="76"/>
              <w:spacing w:line="360" w:lineRule="auto"/>
              <w:ind w:left="7"/>
              <w:rPr>
                <w:sz w:val="21"/>
                <w:szCs w:val="21"/>
              </w:rPr>
            </w:pPr>
            <w:r>
              <w:rPr>
                <w:rFonts w:hint="eastAsia"/>
                <w:spacing w:val="-3"/>
                <w:sz w:val="21"/>
                <w:szCs w:val="21"/>
              </w:rPr>
              <w:t>联系方式：</w:t>
            </w:r>
            <w:r>
              <w:rPr>
                <w:spacing w:val="-3"/>
                <w:sz w:val="21"/>
                <w:szCs w:val="21"/>
              </w:rPr>
              <w:t>0371-22217116</w:t>
            </w:r>
          </w:p>
        </w:tc>
      </w:tr>
      <w:tr w14:paraId="7397D2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34" w:hRule="atLeast"/>
          <w:jc w:val="center"/>
        </w:trPr>
        <w:tc>
          <w:tcPr>
            <w:tcW w:w="782" w:type="dxa"/>
            <w:vAlign w:val="center"/>
          </w:tcPr>
          <w:p w14:paraId="0DA23B5B">
            <w:pPr>
              <w:pStyle w:val="76"/>
              <w:spacing w:before="1"/>
              <w:ind w:left="10"/>
              <w:jc w:val="center"/>
              <w:rPr>
                <w:sz w:val="21"/>
                <w:szCs w:val="21"/>
              </w:rPr>
            </w:pPr>
            <w:r>
              <w:rPr>
                <w:spacing w:val="-2"/>
                <w:sz w:val="21"/>
                <w:szCs w:val="21"/>
              </w:rPr>
              <w:t>1.1.3</w:t>
            </w:r>
          </w:p>
        </w:tc>
        <w:tc>
          <w:tcPr>
            <w:tcW w:w="1575" w:type="dxa"/>
            <w:vAlign w:val="center"/>
          </w:tcPr>
          <w:p w14:paraId="424E600B">
            <w:pPr>
              <w:pStyle w:val="76"/>
              <w:spacing w:before="1"/>
              <w:ind w:left="14"/>
              <w:jc w:val="center"/>
              <w:rPr>
                <w:sz w:val="21"/>
                <w:szCs w:val="21"/>
              </w:rPr>
            </w:pPr>
            <w:r>
              <w:rPr>
                <w:spacing w:val="-4"/>
                <w:sz w:val="21"/>
                <w:szCs w:val="21"/>
              </w:rPr>
              <w:t>采购代理机构</w:t>
            </w:r>
          </w:p>
        </w:tc>
        <w:tc>
          <w:tcPr>
            <w:tcW w:w="6714" w:type="dxa"/>
            <w:vAlign w:val="center"/>
          </w:tcPr>
          <w:p w14:paraId="29AF8102">
            <w:pPr>
              <w:pStyle w:val="76"/>
              <w:spacing w:before="3" w:line="360" w:lineRule="auto"/>
              <w:ind w:left="7"/>
              <w:rPr>
                <w:spacing w:val="-3"/>
                <w:sz w:val="21"/>
                <w:szCs w:val="21"/>
              </w:rPr>
            </w:pPr>
            <w:r>
              <w:rPr>
                <w:rFonts w:hint="eastAsia"/>
                <w:spacing w:val="-3"/>
                <w:sz w:val="21"/>
                <w:szCs w:val="21"/>
              </w:rPr>
              <w:t>名称：河南省光大建设管理有限公司</w:t>
            </w:r>
          </w:p>
          <w:p w14:paraId="778ED6AA">
            <w:pPr>
              <w:pStyle w:val="76"/>
              <w:spacing w:before="3" w:line="360" w:lineRule="auto"/>
              <w:ind w:left="7"/>
              <w:rPr>
                <w:spacing w:val="-3"/>
                <w:sz w:val="21"/>
                <w:szCs w:val="21"/>
              </w:rPr>
            </w:pPr>
            <w:r>
              <w:rPr>
                <w:rFonts w:hint="eastAsia"/>
                <w:spacing w:val="-3"/>
                <w:sz w:val="21"/>
                <w:szCs w:val="21"/>
              </w:rPr>
              <w:t>联系地址：郑州市北三环与中州大道交叉口西</w:t>
            </w:r>
            <w:r>
              <w:rPr>
                <w:spacing w:val="-3"/>
                <w:sz w:val="21"/>
                <w:szCs w:val="21"/>
              </w:rPr>
              <w:t xml:space="preserve"> 500 米路北经三名筑9号楼10楼</w:t>
            </w:r>
          </w:p>
          <w:p w14:paraId="029BBDDF">
            <w:pPr>
              <w:pStyle w:val="76"/>
              <w:spacing w:before="3" w:line="360" w:lineRule="auto"/>
              <w:ind w:left="7"/>
              <w:rPr>
                <w:spacing w:val="-3"/>
                <w:sz w:val="21"/>
                <w:szCs w:val="21"/>
              </w:rPr>
            </w:pPr>
            <w:r>
              <w:rPr>
                <w:rFonts w:hint="eastAsia"/>
                <w:spacing w:val="-3"/>
                <w:sz w:val="21"/>
                <w:szCs w:val="21"/>
              </w:rPr>
              <w:t>联系人：李女士</w:t>
            </w:r>
          </w:p>
          <w:p w14:paraId="7E7FFD47">
            <w:pPr>
              <w:pStyle w:val="76"/>
              <w:spacing w:line="360" w:lineRule="auto"/>
              <w:ind w:left="7"/>
              <w:rPr>
                <w:sz w:val="21"/>
                <w:szCs w:val="21"/>
              </w:rPr>
            </w:pPr>
            <w:r>
              <w:rPr>
                <w:rFonts w:hint="eastAsia"/>
                <w:spacing w:val="-3"/>
                <w:sz w:val="21"/>
                <w:szCs w:val="21"/>
              </w:rPr>
              <w:t>联系方式：</w:t>
            </w:r>
            <w:r>
              <w:rPr>
                <w:spacing w:val="-3"/>
                <w:sz w:val="21"/>
                <w:szCs w:val="21"/>
              </w:rPr>
              <w:t>15649093413</w:t>
            </w:r>
            <w:r>
              <w:rPr>
                <w:rFonts w:hint="eastAsia"/>
                <w:spacing w:val="-3"/>
                <w:sz w:val="21"/>
                <w:szCs w:val="21"/>
              </w:rPr>
              <w:t>、</w:t>
            </w:r>
            <w:r>
              <w:rPr>
                <w:spacing w:val="-3"/>
                <w:sz w:val="21"/>
                <w:szCs w:val="21"/>
              </w:rPr>
              <w:t xml:space="preserve">0371-86610696  </w:t>
            </w:r>
          </w:p>
        </w:tc>
      </w:tr>
      <w:tr w14:paraId="0F4C70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17" w:hRule="atLeast"/>
          <w:jc w:val="center"/>
        </w:trPr>
        <w:tc>
          <w:tcPr>
            <w:tcW w:w="782" w:type="dxa"/>
            <w:vAlign w:val="center"/>
          </w:tcPr>
          <w:p w14:paraId="643A2163">
            <w:pPr>
              <w:pStyle w:val="76"/>
              <w:spacing w:before="207"/>
              <w:ind w:left="10"/>
              <w:jc w:val="center"/>
              <w:rPr>
                <w:sz w:val="21"/>
                <w:szCs w:val="21"/>
              </w:rPr>
            </w:pPr>
            <w:r>
              <w:rPr>
                <w:spacing w:val="-2"/>
                <w:sz w:val="21"/>
                <w:szCs w:val="21"/>
              </w:rPr>
              <w:t>1.1.4</w:t>
            </w:r>
          </w:p>
        </w:tc>
        <w:tc>
          <w:tcPr>
            <w:tcW w:w="1575" w:type="dxa"/>
            <w:vAlign w:val="center"/>
          </w:tcPr>
          <w:p w14:paraId="40CB4FCB">
            <w:pPr>
              <w:pStyle w:val="76"/>
              <w:spacing w:before="3"/>
              <w:ind w:left="14"/>
              <w:jc w:val="center"/>
              <w:rPr>
                <w:sz w:val="21"/>
                <w:szCs w:val="21"/>
              </w:rPr>
            </w:pPr>
            <w:r>
              <w:rPr>
                <w:spacing w:val="-4"/>
                <w:sz w:val="21"/>
                <w:szCs w:val="21"/>
              </w:rPr>
              <w:t>项目名称及项目所属行业</w:t>
            </w:r>
          </w:p>
        </w:tc>
        <w:tc>
          <w:tcPr>
            <w:tcW w:w="6714" w:type="dxa"/>
            <w:vAlign w:val="center"/>
          </w:tcPr>
          <w:p w14:paraId="1F0E9210">
            <w:pPr>
              <w:pStyle w:val="76"/>
              <w:spacing w:before="3"/>
              <w:ind w:left="7"/>
              <w:rPr>
                <w:sz w:val="21"/>
                <w:szCs w:val="21"/>
              </w:rPr>
            </w:pPr>
            <w:r>
              <w:rPr>
                <w:spacing w:val="-3"/>
                <w:sz w:val="21"/>
                <w:szCs w:val="21"/>
              </w:rPr>
              <w:t>项目名称：河南医药健康技师学院分析检验实训中心建设项目</w:t>
            </w:r>
          </w:p>
          <w:p w14:paraId="626C2C5F">
            <w:pPr>
              <w:pStyle w:val="76"/>
              <w:spacing w:before="139"/>
              <w:ind w:left="7"/>
              <w:rPr>
                <w:sz w:val="21"/>
                <w:szCs w:val="21"/>
              </w:rPr>
            </w:pPr>
            <w:r>
              <w:rPr>
                <w:spacing w:val="-3"/>
                <w:sz w:val="21"/>
                <w:szCs w:val="21"/>
              </w:rPr>
              <w:t>项目所属行业：建筑业</w:t>
            </w:r>
          </w:p>
        </w:tc>
      </w:tr>
      <w:tr w14:paraId="228EDC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6" w:hRule="atLeast"/>
          <w:jc w:val="center"/>
        </w:trPr>
        <w:tc>
          <w:tcPr>
            <w:tcW w:w="782" w:type="dxa"/>
            <w:vAlign w:val="center"/>
          </w:tcPr>
          <w:p w14:paraId="7E8B7322">
            <w:pPr>
              <w:pStyle w:val="76"/>
              <w:spacing w:before="80"/>
              <w:ind w:left="10"/>
              <w:jc w:val="center"/>
              <w:rPr>
                <w:sz w:val="21"/>
                <w:szCs w:val="21"/>
              </w:rPr>
            </w:pPr>
            <w:r>
              <w:rPr>
                <w:spacing w:val="-2"/>
                <w:sz w:val="21"/>
                <w:szCs w:val="21"/>
              </w:rPr>
              <w:t>1.1.5</w:t>
            </w:r>
          </w:p>
        </w:tc>
        <w:tc>
          <w:tcPr>
            <w:tcW w:w="1575" w:type="dxa"/>
            <w:vAlign w:val="center"/>
          </w:tcPr>
          <w:p w14:paraId="408174A8">
            <w:pPr>
              <w:pStyle w:val="76"/>
              <w:spacing w:before="80"/>
              <w:ind w:left="14" w:right="2"/>
              <w:jc w:val="center"/>
              <w:rPr>
                <w:sz w:val="21"/>
                <w:szCs w:val="21"/>
              </w:rPr>
            </w:pPr>
            <w:r>
              <w:rPr>
                <w:rFonts w:hint="eastAsia"/>
                <w:spacing w:val="-4"/>
                <w:sz w:val="21"/>
                <w:szCs w:val="21"/>
              </w:rPr>
              <w:t>建设</w:t>
            </w:r>
            <w:r>
              <w:rPr>
                <w:spacing w:val="-4"/>
                <w:sz w:val="21"/>
                <w:szCs w:val="21"/>
              </w:rPr>
              <w:t>地点</w:t>
            </w:r>
          </w:p>
        </w:tc>
        <w:tc>
          <w:tcPr>
            <w:tcW w:w="6714" w:type="dxa"/>
            <w:vAlign w:val="center"/>
          </w:tcPr>
          <w:p w14:paraId="098AFD19">
            <w:pPr>
              <w:pStyle w:val="76"/>
              <w:spacing w:before="80"/>
              <w:ind w:left="7"/>
              <w:rPr>
                <w:sz w:val="21"/>
                <w:szCs w:val="21"/>
              </w:rPr>
            </w:pPr>
            <w:r>
              <w:rPr>
                <w:rFonts w:hint="eastAsia"/>
                <w:spacing w:val="-3"/>
                <w:sz w:val="21"/>
                <w:szCs w:val="21"/>
              </w:rPr>
              <w:t>河南医药健康技师学院</w:t>
            </w:r>
            <w:r>
              <w:rPr>
                <w:spacing w:val="-3"/>
                <w:sz w:val="21"/>
                <w:szCs w:val="21"/>
              </w:rPr>
              <w:t>内</w:t>
            </w:r>
          </w:p>
        </w:tc>
      </w:tr>
      <w:tr w14:paraId="7C87FC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8" w:hRule="atLeast"/>
          <w:jc w:val="center"/>
        </w:trPr>
        <w:tc>
          <w:tcPr>
            <w:tcW w:w="782" w:type="dxa"/>
            <w:vAlign w:val="center"/>
          </w:tcPr>
          <w:p w14:paraId="1907F11E">
            <w:pPr>
              <w:pStyle w:val="76"/>
              <w:spacing w:before="82"/>
              <w:ind w:left="10"/>
              <w:jc w:val="center"/>
              <w:rPr>
                <w:sz w:val="21"/>
                <w:szCs w:val="21"/>
              </w:rPr>
            </w:pPr>
            <w:r>
              <w:rPr>
                <w:spacing w:val="-2"/>
                <w:sz w:val="21"/>
                <w:szCs w:val="21"/>
              </w:rPr>
              <w:t>1.2.1</w:t>
            </w:r>
          </w:p>
        </w:tc>
        <w:tc>
          <w:tcPr>
            <w:tcW w:w="1575" w:type="dxa"/>
            <w:vAlign w:val="center"/>
          </w:tcPr>
          <w:p w14:paraId="3FADCE3A">
            <w:pPr>
              <w:pStyle w:val="76"/>
              <w:spacing w:before="82"/>
              <w:ind w:left="14" w:right="2"/>
              <w:jc w:val="center"/>
              <w:rPr>
                <w:sz w:val="21"/>
                <w:szCs w:val="21"/>
              </w:rPr>
            </w:pPr>
            <w:r>
              <w:rPr>
                <w:spacing w:val="-4"/>
                <w:sz w:val="21"/>
                <w:szCs w:val="21"/>
              </w:rPr>
              <w:t>资金来源</w:t>
            </w:r>
          </w:p>
        </w:tc>
        <w:tc>
          <w:tcPr>
            <w:tcW w:w="6714" w:type="dxa"/>
            <w:vAlign w:val="center"/>
          </w:tcPr>
          <w:p w14:paraId="0E3A6E41">
            <w:pPr>
              <w:pStyle w:val="76"/>
              <w:spacing w:before="82"/>
              <w:ind w:left="7"/>
              <w:rPr>
                <w:sz w:val="21"/>
                <w:szCs w:val="21"/>
              </w:rPr>
            </w:pPr>
            <w:r>
              <w:rPr>
                <w:spacing w:val="-4"/>
                <w:sz w:val="21"/>
                <w:szCs w:val="21"/>
              </w:rPr>
              <w:t>财政资金</w:t>
            </w:r>
          </w:p>
        </w:tc>
      </w:tr>
      <w:tr w14:paraId="4A8324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16" w:hRule="atLeast"/>
          <w:jc w:val="center"/>
        </w:trPr>
        <w:tc>
          <w:tcPr>
            <w:tcW w:w="782" w:type="dxa"/>
            <w:vAlign w:val="center"/>
          </w:tcPr>
          <w:p w14:paraId="1A2EA22C">
            <w:pPr>
              <w:pStyle w:val="76"/>
              <w:spacing w:before="205"/>
              <w:ind w:left="10"/>
              <w:jc w:val="center"/>
              <w:rPr>
                <w:sz w:val="21"/>
                <w:szCs w:val="21"/>
              </w:rPr>
            </w:pPr>
            <w:r>
              <w:rPr>
                <w:spacing w:val="-2"/>
                <w:sz w:val="21"/>
                <w:szCs w:val="21"/>
              </w:rPr>
              <w:t>1.2.2</w:t>
            </w:r>
          </w:p>
        </w:tc>
        <w:tc>
          <w:tcPr>
            <w:tcW w:w="1575" w:type="dxa"/>
            <w:vAlign w:val="center"/>
          </w:tcPr>
          <w:p w14:paraId="76514F96">
            <w:pPr>
              <w:pStyle w:val="76"/>
              <w:spacing w:before="1"/>
              <w:ind w:left="14" w:right="2"/>
              <w:jc w:val="center"/>
              <w:rPr>
                <w:sz w:val="21"/>
                <w:szCs w:val="21"/>
              </w:rPr>
            </w:pPr>
            <w:r>
              <w:rPr>
                <w:spacing w:val="-4"/>
                <w:sz w:val="21"/>
                <w:szCs w:val="21"/>
              </w:rPr>
              <w:t>预算金额</w:t>
            </w:r>
          </w:p>
          <w:p w14:paraId="77C3C8F9">
            <w:pPr>
              <w:pStyle w:val="76"/>
              <w:spacing w:before="139"/>
              <w:ind w:left="14"/>
              <w:jc w:val="center"/>
              <w:rPr>
                <w:sz w:val="21"/>
                <w:szCs w:val="21"/>
              </w:rPr>
            </w:pPr>
            <w:r>
              <w:rPr>
                <w:spacing w:val="-2"/>
                <w:sz w:val="21"/>
                <w:szCs w:val="21"/>
              </w:rPr>
              <w:t>（最高限价</w:t>
            </w:r>
            <w:r>
              <w:rPr>
                <w:spacing w:val="-10"/>
                <w:sz w:val="21"/>
                <w:szCs w:val="21"/>
              </w:rPr>
              <w:t>）</w:t>
            </w:r>
          </w:p>
        </w:tc>
        <w:tc>
          <w:tcPr>
            <w:tcW w:w="6714" w:type="dxa"/>
            <w:vAlign w:val="center"/>
          </w:tcPr>
          <w:p w14:paraId="3481E01C">
            <w:pPr>
              <w:pStyle w:val="76"/>
              <w:spacing w:before="205"/>
              <w:ind w:left="7"/>
              <w:rPr>
                <w:sz w:val="21"/>
                <w:szCs w:val="21"/>
              </w:rPr>
            </w:pPr>
            <w:r>
              <w:rPr>
                <w:spacing w:val="-2"/>
                <w:sz w:val="21"/>
                <w:szCs w:val="21"/>
              </w:rPr>
              <w:t>1437470.34</w:t>
            </w:r>
            <w:r>
              <w:rPr>
                <w:spacing w:val="-10"/>
                <w:sz w:val="21"/>
                <w:szCs w:val="21"/>
              </w:rPr>
              <w:t>元</w:t>
            </w:r>
          </w:p>
        </w:tc>
      </w:tr>
      <w:tr w14:paraId="251495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17" w:hRule="atLeast"/>
          <w:jc w:val="center"/>
        </w:trPr>
        <w:tc>
          <w:tcPr>
            <w:tcW w:w="782" w:type="dxa"/>
            <w:vAlign w:val="center"/>
          </w:tcPr>
          <w:p w14:paraId="0808F503">
            <w:pPr>
              <w:pStyle w:val="76"/>
              <w:spacing w:before="207"/>
              <w:ind w:left="10"/>
              <w:jc w:val="center"/>
              <w:rPr>
                <w:sz w:val="21"/>
                <w:szCs w:val="21"/>
              </w:rPr>
            </w:pPr>
            <w:r>
              <w:rPr>
                <w:spacing w:val="-2"/>
                <w:sz w:val="21"/>
                <w:szCs w:val="21"/>
              </w:rPr>
              <w:t>1.3.1</w:t>
            </w:r>
          </w:p>
        </w:tc>
        <w:tc>
          <w:tcPr>
            <w:tcW w:w="1575" w:type="dxa"/>
            <w:vAlign w:val="center"/>
          </w:tcPr>
          <w:p w14:paraId="3F6F9709">
            <w:pPr>
              <w:pStyle w:val="76"/>
              <w:spacing w:before="3"/>
              <w:ind w:left="14"/>
              <w:jc w:val="center"/>
              <w:rPr>
                <w:sz w:val="21"/>
                <w:szCs w:val="21"/>
              </w:rPr>
            </w:pPr>
            <w:r>
              <w:rPr>
                <w:spacing w:val="-4"/>
                <w:sz w:val="21"/>
                <w:szCs w:val="21"/>
              </w:rPr>
              <w:t>采购内容及分包</w:t>
            </w:r>
            <w:r>
              <w:rPr>
                <w:spacing w:val="-5"/>
                <w:sz w:val="21"/>
                <w:szCs w:val="21"/>
              </w:rPr>
              <w:t>情况</w:t>
            </w:r>
          </w:p>
        </w:tc>
        <w:tc>
          <w:tcPr>
            <w:tcW w:w="6714" w:type="dxa"/>
            <w:vAlign w:val="center"/>
          </w:tcPr>
          <w:p w14:paraId="32679355">
            <w:pPr>
              <w:pStyle w:val="76"/>
              <w:spacing w:before="3"/>
              <w:ind w:left="7"/>
              <w:rPr>
                <w:sz w:val="21"/>
                <w:szCs w:val="21"/>
              </w:rPr>
            </w:pPr>
            <w:r>
              <w:rPr>
                <w:spacing w:val="-3"/>
                <w:sz w:val="21"/>
                <w:szCs w:val="21"/>
              </w:rPr>
              <w:t>采购内容：</w:t>
            </w:r>
            <w:r>
              <w:rPr>
                <w:rFonts w:hint="eastAsia"/>
                <w:spacing w:val="-3"/>
                <w:sz w:val="21"/>
                <w:szCs w:val="21"/>
              </w:rPr>
              <w:t>本项目磋商文件、图纸、工程量清单范围内的全部内容；</w:t>
            </w:r>
          </w:p>
          <w:p w14:paraId="212928FD">
            <w:pPr>
              <w:pStyle w:val="76"/>
              <w:spacing w:before="139"/>
              <w:ind w:left="7"/>
              <w:rPr>
                <w:sz w:val="21"/>
                <w:szCs w:val="21"/>
              </w:rPr>
            </w:pPr>
            <w:r>
              <w:rPr>
                <w:spacing w:val="-2"/>
                <w:sz w:val="21"/>
                <w:szCs w:val="21"/>
              </w:rPr>
              <w:t>分包情况：本项目共1</w:t>
            </w:r>
            <w:r>
              <w:rPr>
                <w:spacing w:val="-6"/>
                <w:sz w:val="21"/>
                <w:szCs w:val="21"/>
              </w:rPr>
              <w:t>个包</w:t>
            </w:r>
          </w:p>
        </w:tc>
      </w:tr>
      <w:tr w14:paraId="62A68C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5" w:hRule="atLeast"/>
          <w:jc w:val="center"/>
        </w:trPr>
        <w:tc>
          <w:tcPr>
            <w:tcW w:w="782" w:type="dxa"/>
            <w:vAlign w:val="center"/>
          </w:tcPr>
          <w:p w14:paraId="3FC728CA">
            <w:pPr>
              <w:pStyle w:val="76"/>
              <w:spacing w:before="80"/>
              <w:ind w:left="10"/>
              <w:jc w:val="center"/>
              <w:rPr>
                <w:sz w:val="21"/>
                <w:szCs w:val="21"/>
              </w:rPr>
            </w:pPr>
            <w:r>
              <w:rPr>
                <w:spacing w:val="-2"/>
                <w:sz w:val="21"/>
                <w:szCs w:val="21"/>
              </w:rPr>
              <w:t>1.3.2</w:t>
            </w:r>
          </w:p>
        </w:tc>
        <w:tc>
          <w:tcPr>
            <w:tcW w:w="1575" w:type="dxa"/>
            <w:vAlign w:val="center"/>
          </w:tcPr>
          <w:p w14:paraId="1A0A5274">
            <w:pPr>
              <w:pStyle w:val="76"/>
              <w:spacing w:before="80"/>
              <w:ind w:left="14" w:right="5"/>
              <w:jc w:val="center"/>
              <w:rPr>
                <w:sz w:val="21"/>
                <w:szCs w:val="21"/>
              </w:rPr>
            </w:pPr>
            <w:r>
              <w:rPr>
                <w:spacing w:val="-4"/>
                <w:sz w:val="21"/>
                <w:szCs w:val="21"/>
              </w:rPr>
              <w:t>计划工期</w:t>
            </w:r>
          </w:p>
        </w:tc>
        <w:tc>
          <w:tcPr>
            <w:tcW w:w="6714" w:type="dxa"/>
            <w:vAlign w:val="center"/>
          </w:tcPr>
          <w:p w14:paraId="5A90B38D">
            <w:pPr>
              <w:pStyle w:val="76"/>
              <w:spacing w:before="80"/>
              <w:ind w:left="7"/>
              <w:rPr>
                <w:sz w:val="21"/>
                <w:szCs w:val="21"/>
              </w:rPr>
            </w:pPr>
            <w:r>
              <w:rPr>
                <w:spacing w:val="-2"/>
                <w:sz w:val="21"/>
                <w:szCs w:val="21"/>
              </w:rPr>
              <w:t>60 日历天</w:t>
            </w:r>
            <w:r>
              <w:rPr>
                <w:rFonts w:hint="eastAsia"/>
                <w:spacing w:val="-2"/>
                <w:sz w:val="21"/>
                <w:szCs w:val="21"/>
              </w:rPr>
              <w:t>；</w:t>
            </w:r>
          </w:p>
        </w:tc>
      </w:tr>
      <w:tr w14:paraId="04866A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8" w:hRule="atLeast"/>
          <w:jc w:val="center"/>
        </w:trPr>
        <w:tc>
          <w:tcPr>
            <w:tcW w:w="782" w:type="dxa"/>
            <w:vAlign w:val="center"/>
          </w:tcPr>
          <w:p w14:paraId="1B2D8082">
            <w:pPr>
              <w:pStyle w:val="76"/>
              <w:spacing w:before="82"/>
              <w:ind w:left="10"/>
              <w:jc w:val="center"/>
              <w:rPr>
                <w:sz w:val="21"/>
                <w:szCs w:val="21"/>
              </w:rPr>
            </w:pPr>
            <w:r>
              <w:rPr>
                <w:spacing w:val="-2"/>
                <w:sz w:val="21"/>
                <w:szCs w:val="21"/>
              </w:rPr>
              <w:t>1.3.3</w:t>
            </w:r>
          </w:p>
        </w:tc>
        <w:tc>
          <w:tcPr>
            <w:tcW w:w="1575" w:type="dxa"/>
            <w:vAlign w:val="center"/>
          </w:tcPr>
          <w:p w14:paraId="04FE336A">
            <w:pPr>
              <w:pStyle w:val="76"/>
              <w:spacing w:before="82"/>
              <w:ind w:left="14" w:right="2"/>
              <w:jc w:val="center"/>
              <w:rPr>
                <w:sz w:val="21"/>
                <w:szCs w:val="21"/>
              </w:rPr>
            </w:pPr>
            <w:r>
              <w:rPr>
                <w:spacing w:val="-4"/>
                <w:sz w:val="21"/>
                <w:szCs w:val="21"/>
              </w:rPr>
              <w:t>质量</w:t>
            </w:r>
            <w:r>
              <w:rPr>
                <w:rFonts w:hint="eastAsia"/>
                <w:spacing w:val="-4"/>
                <w:sz w:val="21"/>
                <w:szCs w:val="21"/>
              </w:rPr>
              <w:t>标准</w:t>
            </w:r>
          </w:p>
        </w:tc>
        <w:tc>
          <w:tcPr>
            <w:tcW w:w="6714" w:type="dxa"/>
            <w:vAlign w:val="center"/>
          </w:tcPr>
          <w:p w14:paraId="313F86A1">
            <w:pPr>
              <w:pStyle w:val="76"/>
              <w:spacing w:before="82"/>
              <w:ind w:left="7"/>
              <w:rPr>
                <w:sz w:val="21"/>
                <w:szCs w:val="21"/>
              </w:rPr>
            </w:pPr>
            <w:r>
              <w:rPr>
                <w:rFonts w:hint="eastAsia"/>
                <w:spacing w:val="-3"/>
                <w:sz w:val="21"/>
                <w:szCs w:val="21"/>
              </w:rPr>
              <w:t>达到国家相关部门有关施工质量验收规范的合格标准；</w:t>
            </w:r>
          </w:p>
        </w:tc>
      </w:tr>
      <w:tr w14:paraId="4D7D9C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5" w:hRule="atLeast"/>
          <w:jc w:val="center"/>
        </w:trPr>
        <w:tc>
          <w:tcPr>
            <w:tcW w:w="782" w:type="dxa"/>
            <w:vAlign w:val="center"/>
          </w:tcPr>
          <w:p w14:paraId="759981C4">
            <w:pPr>
              <w:pStyle w:val="76"/>
              <w:spacing w:before="82"/>
              <w:ind w:left="10"/>
              <w:jc w:val="center"/>
              <w:rPr>
                <w:spacing w:val="-2"/>
                <w:sz w:val="21"/>
                <w:szCs w:val="21"/>
              </w:rPr>
            </w:pPr>
            <w:r>
              <w:rPr>
                <w:spacing w:val="-2"/>
                <w:sz w:val="21"/>
                <w:szCs w:val="21"/>
              </w:rPr>
              <w:t>1.3.4</w:t>
            </w:r>
          </w:p>
        </w:tc>
        <w:tc>
          <w:tcPr>
            <w:tcW w:w="1575" w:type="dxa"/>
            <w:vAlign w:val="center"/>
          </w:tcPr>
          <w:p w14:paraId="38B1FB3E">
            <w:pPr>
              <w:pStyle w:val="76"/>
              <w:spacing w:before="82"/>
              <w:ind w:left="14" w:right="2"/>
              <w:jc w:val="center"/>
              <w:rPr>
                <w:spacing w:val="-2"/>
                <w:sz w:val="21"/>
                <w:szCs w:val="21"/>
              </w:rPr>
            </w:pPr>
            <w:r>
              <w:rPr>
                <w:rFonts w:hint="eastAsia"/>
                <w:spacing w:val="-2"/>
                <w:sz w:val="21"/>
                <w:szCs w:val="21"/>
              </w:rPr>
              <w:t>质保期</w:t>
            </w:r>
          </w:p>
        </w:tc>
        <w:tc>
          <w:tcPr>
            <w:tcW w:w="6714" w:type="dxa"/>
            <w:vAlign w:val="center"/>
          </w:tcPr>
          <w:p w14:paraId="73EB7712">
            <w:pPr>
              <w:pStyle w:val="76"/>
              <w:spacing w:before="82"/>
              <w:ind w:left="7" w:right="2"/>
              <w:rPr>
                <w:spacing w:val="-4"/>
                <w:sz w:val="21"/>
                <w:szCs w:val="21"/>
              </w:rPr>
            </w:pPr>
            <w:r>
              <w:rPr>
                <w:rFonts w:hint="eastAsia"/>
                <w:spacing w:val="-4"/>
                <w:sz w:val="21"/>
                <w:szCs w:val="21"/>
              </w:rPr>
              <w:t>自竣工验收合格之日起</w:t>
            </w:r>
            <w:r>
              <w:rPr>
                <w:spacing w:val="-4"/>
                <w:sz w:val="21"/>
                <w:szCs w:val="21"/>
              </w:rPr>
              <w:t>2年</w:t>
            </w:r>
          </w:p>
        </w:tc>
      </w:tr>
      <w:tr w14:paraId="120558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60" w:hRule="atLeast"/>
          <w:jc w:val="center"/>
        </w:trPr>
        <w:tc>
          <w:tcPr>
            <w:tcW w:w="782" w:type="dxa"/>
            <w:vAlign w:val="center"/>
          </w:tcPr>
          <w:p w14:paraId="42EDFB72">
            <w:pPr>
              <w:pStyle w:val="76"/>
              <w:rPr>
                <w:b/>
                <w:sz w:val="21"/>
                <w:szCs w:val="21"/>
              </w:rPr>
            </w:pPr>
          </w:p>
          <w:p w14:paraId="5FB39C16">
            <w:pPr>
              <w:pStyle w:val="76"/>
              <w:rPr>
                <w:b/>
                <w:sz w:val="21"/>
                <w:szCs w:val="21"/>
              </w:rPr>
            </w:pPr>
          </w:p>
          <w:p w14:paraId="2BC2D4BF">
            <w:pPr>
              <w:pStyle w:val="76"/>
              <w:spacing w:before="69"/>
              <w:rPr>
                <w:b/>
                <w:sz w:val="21"/>
                <w:szCs w:val="21"/>
              </w:rPr>
            </w:pPr>
          </w:p>
          <w:p w14:paraId="370563F7">
            <w:pPr>
              <w:pStyle w:val="76"/>
              <w:ind w:left="10"/>
              <w:jc w:val="center"/>
              <w:rPr>
                <w:sz w:val="21"/>
                <w:szCs w:val="21"/>
              </w:rPr>
            </w:pPr>
            <w:r>
              <w:rPr>
                <w:spacing w:val="-2"/>
                <w:sz w:val="21"/>
                <w:szCs w:val="21"/>
              </w:rPr>
              <w:t>1.4.1</w:t>
            </w:r>
          </w:p>
        </w:tc>
        <w:tc>
          <w:tcPr>
            <w:tcW w:w="1575" w:type="dxa"/>
            <w:vAlign w:val="center"/>
          </w:tcPr>
          <w:p w14:paraId="5E046B63">
            <w:pPr>
              <w:pStyle w:val="76"/>
              <w:rPr>
                <w:b/>
                <w:sz w:val="21"/>
                <w:szCs w:val="21"/>
              </w:rPr>
            </w:pPr>
          </w:p>
          <w:p w14:paraId="6A1EE3A7">
            <w:pPr>
              <w:pStyle w:val="76"/>
              <w:spacing w:before="251"/>
              <w:rPr>
                <w:b/>
                <w:sz w:val="21"/>
                <w:szCs w:val="21"/>
              </w:rPr>
            </w:pPr>
          </w:p>
          <w:p w14:paraId="61E07B37">
            <w:pPr>
              <w:pStyle w:val="76"/>
              <w:spacing w:line="364" w:lineRule="auto"/>
              <w:ind w:left="367" w:right="353" w:hanging="21"/>
              <w:jc w:val="center"/>
              <w:rPr>
                <w:sz w:val="21"/>
                <w:szCs w:val="21"/>
              </w:rPr>
            </w:pPr>
            <w:r>
              <w:rPr>
                <w:spacing w:val="-4"/>
                <w:sz w:val="21"/>
                <w:szCs w:val="21"/>
              </w:rPr>
              <w:t>供应商资格要求</w:t>
            </w:r>
          </w:p>
        </w:tc>
        <w:tc>
          <w:tcPr>
            <w:tcW w:w="6714" w:type="dxa"/>
            <w:vAlign w:val="center"/>
          </w:tcPr>
          <w:p w14:paraId="20FBA31F">
            <w:pPr>
              <w:spacing w:line="360" w:lineRule="auto"/>
              <w:rPr>
                <w:sz w:val="21"/>
                <w:szCs w:val="21"/>
              </w:rPr>
            </w:pPr>
            <w:r>
              <w:rPr>
                <w:sz w:val="21"/>
                <w:szCs w:val="21"/>
              </w:rPr>
              <w:t>1、满足《中华人民共和国政府采购法》第二十二条规定；</w:t>
            </w:r>
          </w:p>
          <w:p w14:paraId="0C8AAD5C">
            <w:pPr>
              <w:spacing w:line="360" w:lineRule="auto"/>
              <w:rPr>
                <w:sz w:val="21"/>
                <w:szCs w:val="21"/>
              </w:rPr>
            </w:pPr>
            <w:r>
              <w:rPr>
                <w:sz w:val="21"/>
                <w:szCs w:val="21"/>
              </w:rPr>
              <w:t>2、落实政府采购政策满足的资格要求：本项目执行节约能源、保护环境、落实支持创新、绿色发展、扶持不发达地区和少数民族地区、促进中小企业发展、优先采购节能环保产品等政府采购政策。</w:t>
            </w:r>
          </w:p>
          <w:p w14:paraId="0F56655C">
            <w:pPr>
              <w:spacing w:line="360" w:lineRule="auto"/>
              <w:rPr>
                <w:sz w:val="21"/>
                <w:szCs w:val="21"/>
              </w:rPr>
            </w:pPr>
            <w:r>
              <w:rPr>
                <w:sz w:val="21"/>
                <w:szCs w:val="21"/>
              </w:rPr>
              <w:t>3、本项目的特定资格要求</w:t>
            </w:r>
          </w:p>
          <w:p w14:paraId="4AD449B2">
            <w:pPr>
              <w:spacing w:line="360" w:lineRule="auto"/>
              <w:rPr>
                <w:sz w:val="21"/>
                <w:szCs w:val="21"/>
              </w:rPr>
            </w:pPr>
            <w:r>
              <w:rPr>
                <w:rFonts w:hint="eastAsia"/>
                <w:sz w:val="21"/>
                <w:szCs w:val="21"/>
              </w:rPr>
              <w:t>3</w:t>
            </w:r>
            <w:r>
              <w:rPr>
                <w:sz w:val="21"/>
                <w:szCs w:val="21"/>
              </w:rPr>
              <w:t>.1.供应商须具</w:t>
            </w:r>
            <w:r>
              <w:rPr>
                <w:rFonts w:hint="eastAsia"/>
                <w:sz w:val="21"/>
                <w:szCs w:val="21"/>
              </w:rPr>
              <w:t>有</w:t>
            </w:r>
            <w:r>
              <w:rPr>
                <w:sz w:val="21"/>
                <w:szCs w:val="21"/>
              </w:rPr>
              <w:t>建设行政主管部门颁发的建筑工程施工总承包三级及以上资质或者建筑装修装饰工程专业承包二级或以上资质，且具有有效的安全生产许可证；</w:t>
            </w:r>
          </w:p>
          <w:p w14:paraId="3EFE4E99">
            <w:pPr>
              <w:spacing w:line="360" w:lineRule="auto"/>
              <w:rPr>
                <w:sz w:val="21"/>
                <w:szCs w:val="21"/>
              </w:rPr>
            </w:pPr>
            <w:r>
              <w:rPr>
                <w:rFonts w:hint="eastAsia"/>
                <w:sz w:val="21"/>
                <w:szCs w:val="21"/>
              </w:rPr>
              <w:t>3</w:t>
            </w:r>
            <w:r>
              <w:rPr>
                <w:sz w:val="21"/>
                <w:szCs w:val="21"/>
              </w:rPr>
              <w:t>.2.供应商拟派项目经理须具有建筑工程专业二级（含二级）及以上注册建造师执业资格及有效的安全生产考核合格证，且未担任其他在施建设工程项目的项目经理；</w:t>
            </w:r>
          </w:p>
          <w:p w14:paraId="520F5267">
            <w:pPr>
              <w:spacing w:line="360" w:lineRule="auto"/>
              <w:rPr>
                <w:sz w:val="21"/>
                <w:szCs w:val="21"/>
              </w:rPr>
            </w:pPr>
            <w:r>
              <w:rPr>
                <w:rFonts w:hint="eastAsia"/>
                <w:sz w:val="21"/>
                <w:szCs w:val="21"/>
              </w:rPr>
              <w:t>3</w:t>
            </w:r>
            <w:r>
              <w:rPr>
                <w:sz w:val="21"/>
                <w:szCs w:val="21"/>
              </w:rPr>
              <w:t>.3.根据《关于在政府采购活动中查询及使用信用记录有关问题的通知》（财库〔2016〕125号）和豫财购〔2016〕15号的规定，对列入失信被执行人名单、重大税收违法失信主体、政府采购严重违法失信行为记录名单的企业，拒绝参与本项目政府采购活动（查询渠道：“中国执行信息公开网”（zxgk.court.gov.cn/shixin/）查询：失信被执行人名单；“信用中国”网站（www.credi tchina.gov.cn）查询：重大税收违法失信主体名单、“中国政府采购网”（</w:t>
            </w:r>
            <w:r>
              <w:fldChar w:fldCharType="begin"/>
            </w:r>
            <w:r>
              <w:instrText xml:space="preserve"> HYPERLINK "http://www.ccgp.gov.cn/" \h </w:instrText>
            </w:r>
            <w:r>
              <w:fldChar w:fldCharType="separate"/>
            </w:r>
            <w:r>
              <w:rPr>
                <w:rStyle w:val="56"/>
                <w:sz w:val="21"/>
                <w:szCs w:val="21"/>
              </w:rPr>
              <w:t>www.ccgp.gov.cn</w:t>
            </w:r>
            <w:r>
              <w:rPr>
                <w:rStyle w:val="56"/>
                <w:sz w:val="21"/>
                <w:szCs w:val="21"/>
              </w:rPr>
              <w:fldChar w:fldCharType="end"/>
            </w:r>
            <w:r>
              <w:rPr>
                <w:sz w:val="21"/>
                <w:szCs w:val="21"/>
              </w:rPr>
              <w:t>）查询：政府采购严重违法失信行为记录名单）；</w:t>
            </w:r>
          </w:p>
          <w:p w14:paraId="7D3BB3A7">
            <w:pPr>
              <w:spacing w:line="360" w:lineRule="auto"/>
              <w:rPr>
                <w:sz w:val="21"/>
                <w:szCs w:val="21"/>
              </w:rPr>
            </w:pPr>
            <w:r>
              <w:rPr>
                <w:sz w:val="21"/>
                <w:szCs w:val="21"/>
              </w:rPr>
              <w:t>注：采购代理机构在开标当天将对所有参与本项目投标的供应商信用情况进行查询、打印留存。若在开标当天查询到供应商有相关负面信息的，则该供应商为无效响应。</w:t>
            </w:r>
          </w:p>
          <w:p w14:paraId="7BAF0F06">
            <w:pPr>
              <w:spacing w:line="360" w:lineRule="auto"/>
              <w:rPr>
                <w:sz w:val="21"/>
                <w:szCs w:val="21"/>
              </w:rPr>
            </w:pPr>
            <w:r>
              <w:rPr>
                <w:rFonts w:hint="eastAsia"/>
                <w:sz w:val="21"/>
                <w:szCs w:val="21"/>
              </w:rPr>
              <w:t>3</w:t>
            </w:r>
            <w:r>
              <w:rPr>
                <w:sz w:val="21"/>
                <w:szCs w:val="21"/>
              </w:rPr>
              <w:t>.4.单位负责人为同一人或者存在直接控股、管理关系的不同供应商，不得参加同一合同项下的政府采购活动，供应商提供承诺书或“国家企业信用信息公示系统”网站查询结果网页截图，查询截图需显示公司基本信息、出资人或股东信息、主要人员信息。</w:t>
            </w:r>
          </w:p>
          <w:p w14:paraId="04731B98">
            <w:pPr>
              <w:spacing w:line="360" w:lineRule="auto"/>
              <w:rPr>
                <w:sz w:val="21"/>
                <w:szCs w:val="21"/>
              </w:rPr>
            </w:pPr>
            <w:r>
              <w:rPr>
                <w:rFonts w:hint="eastAsia"/>
                <w:sz w:val="21"/>
                <w:szCs w:val="21"/>
              </w:rPr>
              <w:t>3</w:t>
            </w:r>
            <w:r>
              <w:rPr>
                <w:sz w:val="21"/>
                <w:szCs w:val="21"/>
              </w:rPr>
              <w:t>.5.为采购项目提供整体设计、规范编制或者项目管理、监理、检测等服务的供应商，不得再参加该采购项目的其他采购活动。</w:t>
            </w:r>
          </w:p>
          <w:p w14:paraId="21C077B5">
            <w:pPr>
              <w:spacing w:line="360" w:lineRule="auto"/>
              <w:rPr>
                <w:sz w:val="21"/>
                <w:szCs w:val="21"/>
              </w:rPr>
            </w:pPr>
            <w:r>
              <w:rPr>
                <w:rFonts w:hint="eastAsia"/>
                <w:sz w:val="21"/>
                <w:szCs w:val="21"/>
              </w:rPr>
              <w:t>3</w:t>
            </w:r>
            <w:r>
              <w:rPr>
                <w:sz w:val="21"/>
                <w:szCs w:val="21"/>
              </w:rPr>
              <w:t>.6.根据《河南省住房和城乡建设厅关于进一步规范建设工程企业资质管理的通知》豫建行规〔2024〕7 号文件规定，被全国和河南省建筑市场监管公共服务平台标注为资质异常的，供应商不能使用标注异常的资质承揽本工程，具体要求详见通知内容，供应商提供全国建筑市场监管公共服务平台（四库一平台）和河南省建筑市场监管公共服务平台查询截图</w:t>
            </w:r>
            <w:r>
              <w:rPr>
                <w:rFonts w:hint="eastAsia"/>
                <w:sz w:val="21"/>
                <w:szCs w:val="21"/>
              </w:rPr>
              <w:t>。</w:t>
            </w:r>
          </w:p>
        </w:tc>
      </w:tr>
      <w:tr w14:paraId="0AE61E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84" w:hRule="atLeast"/>
          <w:jc w:val="center"/>
        </w:trPr>
        <w:tc>
          <w:tcPr>
            <w:tcW w:w="782" w:type="dxa"/>
            <w:vAlign w:val="center"/>
          </w:tcPr>
          <w:p w14:paraId="76E760A4">
            <w:pPr>
              <w:pStyle w:val="76"/>
              <w:spacing w:before="80"/>
              <w:ind w:left="10"/>
              <w:jc w:val="center"/>
              <w:rPr>
                <w:sz w:val="21"/>
                <w:szCs w:val="21"/>
              </w:rPr>
            </w:pPr>
            <w:r>
              <w:rPr>
                <w:spacing w:val="-4"/>
                <w:sz w:val="21"/>
                <w:szCs w:val="21"/>
              </w:rPr>
              <w:t>1.10</w:t>
            </w:r>
          </w:p>
        </w:tc>
        <w:tc>
          <w:tcPr>
            <w:tcW w:w="1575" w:type="dxa"/>
            <w:vAlign w:val="center"/>
          </w:tcPr>
          <w:p w14:paraId="3CF392FC">
            <w:pPr>
              <w:pStyle w:val="76"/>
              <w:spacing w:before="80"/>
              <w:ind w:left="14" w:right="2"/>
              <w:jc w:val="center"/>
              <w:rPr>
                <w:sz w:val="21"/>
                <w:szCs w:val="21"/>
              </w:rPr>
            </w:pPr>
            <w:r>
              <w:rPr>
                <w:spacing w:val="-4"/>
                <w:sz w:val="21"/>
                <w:szCs w:val="21"/>
              </w:rPr>
              <w:t>踏勘现场</w:t>
            </w:r>
          </w:p>
        </w:tc>
        <w:tc>
          <w:tcPr>
            <w:tcW w:w="6714" w:type="dxa"/>
            <w:vAlign w:val="center"/>
          </w:tcPr>
          <w:p w14:paraId="4706C3BC">
            <w:pPr>
              <w:pStyle w:val="76"/>
              <w:spacing w:before="80"/>
              <w:ind w:left="7"/>
              <w:rPr>
                <w:sz w:val="21"/>
                <w:szCs w:val="21"/>
              </w:rPr>
            </w:pPr>
            <w:r>
              <w:rPr>
                <w:spacing w:val="-4"/>
                <w:sz w:val="21"/>
                <w:szCs w:val="21"/>
              </w:rPr>
              <w:t>不组织</w:t>
            </w:r>
          </w:p>
        </w:tc>
      </w:tr>
      <w:tr w14:paraId="522D70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4" w:hRule="atLeast"/>
          <w:jc w:val="center"/>
        </w:trPr>
        <w:tc>
          <w:tcPr>
            <w:tcW w:w="782" w:type="dxa"/>
            <w:vAlign w:val="center"/>
          </w:tcPr>
          <w:p w14:paraId="595B8937">
            <w:pPr>
              <w:pStyle w:val="76"/>
              <w:spacing w:before="80"/>
              <w:ind w:left="10"/>
              <w:jc w:val="center"/>
              <w:rPr>
                <w:sz w:val="21"/>
                <w:szCs w:val="21"/>
              </w:rPr>
            </w:pPr>
            <w:r>
              <w:rPr>
                <w:spacing w:val="-4"/>
                <w:sz w:val="21"/>
                <w:szCs w:val="21"/>
              </w:rPr>
              <w:t>1.11</w:t>
            </w:r>
          </w:p>
        </w:tc>
        <w:tc>
          <w:tcPr>
            <w:tcW w:w="1575" w:type="dxa"/>
            <w:vAlign w:val="center"/>
          </w:tcPr>
          <w:p w14:paraId="1CBED925">
            <w:pPr>
              <w:pStyle w:val="76"/>
              <w:spacing w:before="80"/>
              <w:ind w:left="14"/>
              <w:jc w:val="center"/>
              <w:rPr>
                <w:sz w:val="21"/>
                <w:szCs w:val="21"/>
              </w:rPr>
            </w:pPr>
            <w:r>
              <w:rPr>
                <w:spacing w:val="-5"/>
                <w:sz w:val="21"/>
                <w:szCs w:val="21"/>
              </w:rPr>
              <w:t>分包</w:t>
            </w:r>
          </w:p>
        </w:tc>
        <w:tc>
          <w:tcPr>
            <w:tcW w:w="6714" w:type="dxa"/>
            <w:vAlign w:val="center"/>
          </w:tcPr>
          <w:p w14:paraId="12F24DD7">
            <w:pPr>
              <w:pStyle w:val="76"/>
              <w:spacing w:before="80"/>
              <w:ind w:left="7"/>
              <w:rPr>
                <w:sz w:val="21"/>
                <w:szCs w:val="21"/>
              </w:rPr>
            </w:pPr>
            <w:r>
              <w:rPr>
                <w:spacing w:val="-4"/>
                <w:sz w:val="21"/>
                <w:szCs w:val="21"/>
              </w:rPr>
              <w:t>不允许</w:t>
            </w:r>
          </w:p>
        </w:tc>
      </w:tr>
      <w:tr w14:paraId="4BFABB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6" w:hRule="atLeast"/>
          <w:jc w:val="center"/>
        </w:trPr>
        <w:tc>
          <w:tcPr>
            <w:tcW w:w="782" w:type="dxa"/>
          </w:tcPr>
          <w:p w14:paraId="24A2E699">
            <w:pPr>
              <w:pStyle w:val="76"/>
              <w:spacing w:before="80"/>
              <w:ind w:left="10"/>
              <w:jc w:val="center"/>
              <w:rPr>
                <w:sz w:val="21"/>
                <w:szCs w:val="21"/>
              </w:rPr>
            </w:pPr>
            <w:r>
              <w:rPr>
                <w:spacing w:val="-4"/>
                <w:sz w:val="21"/>
                <w:szCs w:val="21"/>
              </w:rPr>
              <w:t>1.12</w:t>
            </w:r>
          </w:p>
        </w:tc>
        <w:tc>
          <w:tcPr>
            <w:tcW w:w="1575" w:type="dxa"/>
          </w:tcPr>
          <w:p w14:paraId="522B05A4">
            <w:pPr>
              <w:pStyle w:val="76"/>
              <w:spacing w:before="80"/>
              <w:ind w:left="14"/>
              <w:jc w:val="center"/>
              <w:rPr>
                <w:sz w:val="21"/>
                <w:szCs w:val="21"/>
              </w:rPr>
            </w:pPr>
            <w:r>
              <w:rPr>
                <w:spacing w:val="-5"/>
                <w:sz w:val="21"/>
                <w:szCs w:val="21"/>
              </w:rPr>
              <w:t>偏离</w:t>
            </w:r>
          </w:p>
        </w:tc>
        <w:tc>
          <w:tcPr>
            <w:tcW w:w="6714" w:type="dxa"/>
          </w:tcPr>
          <w:p w14:paraId="04DDDB56">
            <w:pPr>
              <w:pStyle w:val="76"/>
              <w:spacing w:before="80"/>
              <w:ind w:left="7"/>
              <w:rPr>
                <w:sz w:val="21"/>
                <w:szCs w:val="21"/>
              </w:rPr>
            </w:pPr>
            <w:r>
              <w:rPr>
                <w:spacing w:val="-4"/>
                <w:sz w:val="21"/>
                <w:szCs w:val="21"/>
              </w:rPr>
              <w:t>不允许负偏离</w:t>
            </w:r>
          </w:p>
        </w:tc>
      </w:tr>
      <w:tr w14:paraId="7D54F2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4" w:hRule="atLeast"/>
          <w:jc w:val="center"/>
        </w:trPr>
        <w:tc>
          <w:tcPr>
            <w:tcW w:w="782" w:type="dxa"/>
          </w:tcPr>
          <w:p w14:paraId="71616B11">
            <w:pPr>
              <w:pStyle w:val="76"/>
              <w:spacing w:before="22"/>
              <w:rPr>
                <w:b/>
                <w:sz w:val="21"/>
                <w:szCs w:val="21"/>
              </w:rPr>
            </w:pPr>
          </w:p>
          <w:p w14:paraId="1B5175F4">
            <w:pPr>
              <w:pStyle w:val="76"/>
              <w:spacing w:before="1"/>
              <w:ind w:left="10"/>
              <w:jc w:val="center"/>
              <w:rPr>
                <w:sz w:val="21"/>
                <w:szCs w:val="21"/>
              </w:rPr>
            </w:pPr>
            <w:r>
              <w:rPr>
                <w:spacing w:val="-2"/>
                <w:sz w:val="21"/>
                <w:szCs w:val="21"/>
              </w:rPr>
              <w:t>2.2.2</w:t>
            </w:r>
          </w:p>
        </w:tc>
        <w:tc>
          <w:tcPr>
            <w:tcW w:w="1575" w:type="dxa"/>
          </w:tcPr>
          <w:p w14:paraId="279310CA">
            <w:pPr>
              <w:pStyle w:val="76"/>
              <w:spacing w:before="1" w:line="364" w:lineRule="auto"/>
              <w:ind w:left="52" w:right="36"/>
              <w:jc w:val="center"/>
              <w:rPr>
                <w:sz w:val="21"/>
                <w:szCs w:val="21"/>
              </w:rPr>
            </w:pPr>
            <w:r>
              <w:rPr>
                <w:spacing w:val="-2"/>
                <w:sz w:val="21"/>
                <w:szCs w:val="21"/>
              </w:rPr>
              <w:t>采购人澄清或修</w:t>
            </w:r>
            <w:r>
              <w:rPr>
                <w:spacing w:val="-4"/>
                <w:sz w:val="21"/>
                <w:szCs w:val="21"/>
              </w:rPr>
              <w:t>改竞争性磋商文</w:t>
            </w:r>
          </w:p>
          <w:p w14:paraId="1987C40F">
            <w:pPr>
              <w:pStyle w:val="76"/>
              <w:ind w:left="14"/>
              <w:jc w:val="center"/>
              <w:rPr>
                <w:sz w:val="21"/>
                <w:szCs w:val="21"/>
              </w:rPr>
            </w:pPr>
            <w:r>
              <w:rPr>
                <w:spacing w:val="-4"/>
                <w:sz w:val="21"/>
                <w:szCs w:val="21"/>
              </w:rPr>
              <w:t>件的截止时间</w:t>
            </w:r>
          </w:p>
        </w:tc>
        <w:tc>
          <w:tcPr>
            <w:tcW w:w="6714" w:type="dxa"/>
          </w:tcPr>
          <w:p w14:paraId="59108FDF">
            <w:pPr>
              <w:pStyle w:val="76"/>
              <w:spacing w:before="1" w:line="364" w:lineRule="auto"/>
              <w:ind w:left="7" w:right="74"/>
              <w:rPr>
                <w:sz w:val="21"/>
                <w:szCs w:val="21"/>
              </w:rPr>
            </w:pPr>
            <w:r>
              <w:rPr>
                <w:spacing w:val="-2"/>
                <w:sz w:val="21"/>
                <w:szCs w:val="21"/>
              </w:rPr>
              <w:t>递交响应文件截止之日</w:t>
            </w:r>
            <w:r>
              <w:rPr>
                <w:spacing w:val="-2"/>
                <w:sz w:val="21"/>
                <w:szCs w:val="21"/>
                <w:u w:val="single"/>
              </w:rPr>
              <w:t>5</w:t>
            </w:r>
            <w:r>
              <w:rPr>
                <w:spacing w:val="-2"/>
                <w:sz w:val="21"/>
                <w:szCs w:val="21"/>
              </w:rPr>
              <w:t>日前在“河南省公共资源交易中心（</w:t>
            </w:r>
            <w:r>
              <w:fldChar w:fldCharType="begin"/>
            </w:r>
            <w:r>
              <w:instrText xml:space="preserve"> HYPERLINK "http://hns/" \h </w:instrText>
            </w:r>
            <w:r>
              <w:fldChar w:fldCharType="separate"/>
            </w:r>
            <w:r>
              <w:rPr>
                <w:spacing w:val="-2"/>
                <w:sz w:val="21"/>
                <w:szCs w:val="21"/>
              </w:rPr>
              <w:t>http://hns</w:t>
            </w:r>
            <w:r>
              <w:rPr>
                <w:spacing w:val="-2"/>
                <w:sz w:val="21"/>
                <w:szCs w:val="21"/>
              </w:rPr>
              <w:fldChar w:fldCharType="end"/>
            </w:r>
            <w:r>
              <w:rPr>
                <w:spacing w:val="-2"/>
                <w:sz w:val="21"/>
                <w:szCs w:val="21"/>
              </w:rPr>
              <w:t xml:space="preserve"> ggzyjy.henan.gov.cn/）”电子交易平台公布给所有下载竞争性磋商文</w:t>
            </w:r>
            <w:r>
              <w:rPr>
                <w:spacing w:val="-4"/>
                <w:sz w:val="21"/>
                <w:szCs w:val="21"/>
              </w:rPr>
              <w:t>件的供应商。</w:t>
            </w:r>
          </w:p>
        </w:tc>
      </w:tr>
      <w:tr w14:paraId="2574A1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5" w:hRule="atLeast"/>
          <w:jc w:val="center"/>
        </w:trPr>
        <w:tc>
          <w:tcPr>
            <w:tcW w:w="782" w:type="dxa"/>
          </w:tcPr>
          <w:p w14:paraId="6F7F84EA">
            <w:pPr>
              <w:pStyle w:val="76"/>
              <w:spacing w:before="80"/>
              <w:ind w:left="10"/>
              <w:jc w:val="center"/>
              <w:rPr>
                <w:sz w:val="21"/>
                <w:szCs w:val="21"/>
              </w:rPr>
            </w:pPr>
            <w:r>
              <w:rPr>
                <w:spacing w:val="-2"/>
                <w:sz w:val="21"/>
                <w:szCs w:val="21"/>
              </w:rPr>
              <w:t>2.2.3</w:t>
            </w:r>
          </w:p>
        </w:tc>
        <w:tc>
          <w:tcPr>
            <w:tcW w:w="1575" w:type="dxa"/>
          </w:tcPr>
          <w:p w14:paraId="24CF1E43">
            <w:pPr>
              <w:pStyle w:val="76"/>
              <w:spacing w:before="1"/>
              <w:ind w:left="52"/>
              <w:jc w:val="center"/>
              <w:rPr>
                <w:sz w:val="21"/>
                <w:szCs w:val="21"/>
              </w:rPr>
            </w:pPr>
            <w:r>
              <w:rPr>
                <w:spacing w:val="-4"/>
                <w:sz w:val="21"/>
                <w:szCs w:val="21"/>
              </w:rPr>
              <w:t>供应商确认收到竞争性磋商文件</w:t>
            </w:r>
            <w:r>
              <w:rPr>
                <w:spacing w:val="-2"/>
                <w:sz w:val="21"/>
                <w:szCs w:val="21"/>
              </w:rPr>
              <w:t>澄清或修改的时</w:t>
            </w:r>
            <w:r>
              <w:rPr>
                <w:spacing w:val="-10"/>
                <w:sz w:val="21"/>
                <w:szCs w:val="21"/>
              </w:rPr>
              <w:t>间</w:t>
            </w:r>
          </w:p>
        </w:tc>
        <w:tc>
          <w:tcPr>
            <w:tcW w:w="6714" w:type="dxa"/>
            <w:vAlign w:val="center"/>
          </w:tcPr>
          <w:p w14:paraId="5ECD3478">
            <w:pPr>
              <w:pStyle w:val="76"/>
              <w:spacing w:before="80"/>
              <w:ind w:left="7"/>
              <w:rPr>
                <w:sz w:val="21"/>
                <w:szCs w:val="21"/>
              </w:rPr>
            </w:pPr>
            <w:r>
              <w:rPr>
                <w:spacing w:val="-3"/>
                <w:sz w:val="21"/>
                <w:szCs w:val="21"/>
              </w:rPr>
              <w:t>澄清内容一经在项目公告网站和电子交易平台发布，视作已送达所有供</w:t>
            </w:r>
            <w:r>
              <w:rPr>
                <w:spacing w:val="-4"/>
                <w:sz w:val="21"/>
                <w:szCs w:val="21"/>
              </w:rPr>
              <w:t>应商。</w:t>
            </w:r>
          </w:p>
        </w:tc>
      </w:tr>
      <w:tr w14:paraId="3A9070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5" w:hRule="atLeast"/>
          <w:jc w:val="center"/>
        </w:trPr>
        <w:tc>
          <w:tcPr>
            <w:tcW w:w="782" w:type="dxa"/>
          </w:tcPr>
          <w:p w14:paraId="1B868B9B">
            <w:pPr>
              <w:pStyle w:val="76"/>
              <w:spacing w:before="80"/>
              <w:ind w:left="10"/>
              <w:jc w:val="center"/>
              <w:rPr>
                <w:sz w:val="21"/>
                <w:szCs w:val="21"/>
              </w:rPr>
            </w:pPr>
            <w:r>
              <w:rPr>
                <w:spacing w:val="-2"/>
                <w:sz w:val="21"/>
                <w:szCs w:val="21"/>
              </w:rPr>
              <w:t>3.4.1</w:t>
            </w:r>
          </w:p>
        </w:tc>
        <w:tc>
          <w:tcPr>
            <w:tcW w:w="1575" w:type="dxa"/>
          </w:tcPr>
          <w:p w14:paraId="76335350">
            <w:pPr>
              <w:pStyle w:val="76"/>
              <w:spacing w:before="80"/>
              <w:ind w:left="14" w:right="2"/>
              <w:jc w:val="center"/>
              <w:rPr>
                <w:sz w:val="21"/>
                <w:szCs w:val="21"/>
              </w:rPr>
            </w:pPr>
            <w:r>
              <w:rPr>
                <w:spacing w:val="-4"/>
                <w:sz w:val="21"/>
                <w:szCs w:val="21"/>
              </w:rPr>
              <w:t>磋商有效期</w:t>
            </w:r>
          </w:p>
        </w:tc>
        <w:tc>
          <w:tcPr>
            <w:tcW w:w="6714" w:type="dxa"/>
          </w:tcPr>
          <w:p w14:paraId="74CDF513">
            <w:pPr>
              <w:pStyle w:val="76"/>
              <w:spacing w:before="80"/>
              <w:ind w:left="7"/>
              <w:rPr>
                <w:sz w:val="21"/>
                <w:szCs w:val="21"/>
              </w:rPr>
            </w:pPr>
            <w:r>
              <w:rPr>
                <w:spacing w:val="-2"/>
                <w:sz w:val="21"/>
                <w:szCs w:val="21"/>
              </w:rPr>
              <w:t>60日历天（从首次响应文件递交截止时间起开始计算</w:t>
            </w:r>
            <w:r>
              <w:rPr>
                <w:spacing w:val="-10"/>
                <w:sz w:val="21"/>
                <w:szCs w:val="21"/>
              </w:rPr>
              <w:t>）</w:t>
            </w:r>
          </w:p>
        </w:tc>
      </w:tr>
      <w:tr w14:paraId="7F73C4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5" w:hRule="atLeast"/>
          <w:jc w:val="center"/>
        </w:trPr>
        <w:tc>
          <w:tcPr>
            <w:tcW w:w="782" w:type="dxa"/>
          </w:tcPr>
          <w:p w14:paraId="7651CAC2">
            <w:pPr>
              <w:pStyle w:val="76"/>
              <w:spacing w:before="82"/>
              <w:ind w:left="10"/>
              <w:jc w:val="center"/>
              <w:rPr>
                <w:sz w:val="21"/>
                <w:szCs w:val="21"/>
              </w:rPr>
            </w:pPr>
            <w:r>
              <w:rPr>
                <w:spacing w:val="-2"/>
                <w:sz w:val="21"/>
                <w:szCs w:val="21"/>
              </w:rPr>
              <w:t>3.5.1</w:t>
            </w:r>
          </w:p>
        </w:tc>
        <w:tc>
          <w:tcPr>
            <w:tcW w:w="1575" w:type="dxa"/>
          </w:tcPr>
          <w:p w14:paraId="0A212CE7">
            <w:pPr>
              <w:pStyle w:val="76"/>
              <w:spacing w:before="82"/>
              <w:ind w:left="14" w:right="2"/>
              <w:jc w:val="center"/>
              <w:rPr>
                <w:sz w:val="21"/>
                <w:szCs w:val="21"/>
              </w:rPr>
            </w:pPr>
            <w:r>
              <w:rPr>
                <w:spacing w:val="-4"/>
                <w:sz w:val="21"/>
                <w:szCs w:val="21"/>
              </w:rPr>
              <w:t>磋商保证金</w:t>
            </w:r>
          </w:p>
        </w:tc>
        <w:tc>
          <w:tcPr>
            <w:tcW w:w="6714" w:type="dxa"/>
            <w:vAlign w:val="center"/>
          </w:tcPr>
          <w:p w14:paraId="2F369100">
            <w:pPr>
              <w:pStyle w:val="76"/>
              <w:spacing w:before="13"/>
              <w:ind w:left="7"/>
              <w:rPr>
                <w:b/>
                <w:sz w:val="21"/>
                <w:szCs w:val="21"/>
              </w:rPr>
            </w:pPr>
            <w:r>
              <w:rPr>
                <w:b/>
                <w:spacing w:val="-10"/>
                <w:sz w:val="21"/>
                <w:szCs w:val="21"/>
              </w:rPr>
              <w:t>无</w:t>
            </w:r>
          </w:p>
        </w:tc>
      </w:tr>
      <w:tr w14:paraId="36FEAA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5" w:hRule="atLeast"/>
          <w:jc w:val="center"/>
        </w:trPr>
        <w:tc>
          <w:tcPr>
            <w:tcW w:w="782" w:type="dxa"/>
          </w:tcPr>
          <w:p w14:paraId="5211FE5C">
            <w:pPr>
              <w:pStyle w:val="76"/>
              <w:spacing w:before="205"/>
              <w:ind w:left="10"/>
              <w:jc w:val="center"/>
              <w:rPr>
                <w:sz w:val="21"/>
                <w:szCs w:val="21"/>
              </w:rPr>
            </w:pPr>
            <w:r>
              <w:rPr>
                <w:spacing w:val="-5"/>
                <w:sz w:val="21"/>
                <w:szCs w:val="21"/>
              </w:rPr>
              <w:t>3.6</w:t>
            </w:r>
          </w:p>
        </w:tc>
        <w:tc>
          <w:tcPr>
            <w:tcW w:w="1575" w:type="dxa"/>
          </w:tcPr>
          <w:p w14:paraId="6FE6997A">
            <w:pPr>
              <w:pStyle w:val="76"/>
              <w:spacing w:before="1"/>
              <w:ind w:left="14"/>
              <w:jc w:val="center"/>
              <w:rPr>
                <w:sz w:val="21"/>
                <w:szCs w:val="21"/>
              </w:rPr>
            </w:pPr>
            <w:r>
              <w:rPr>
                <w:spacing w:val="-4"/>
                <w:sz w:val="21"/>
                <w:szCs w:val="21"/>
              </w:rPr>
              <w:t>是否允许递交备选磋商方案</w:t>
            </w:r>
          </w:p>
        </w:tc>
        <w:tc>
          <w:tcPr>
            <w:tcW w:w="6714" w:type="dxa"/>
          </w:tcPr>
          <w:p w14:paraId="07066924">
            <w:pPr>
              <w:pStyle w:val="76"/>
              <w:spacing w:before="205"/>
              <w:ind w:left="7"/>
              <w:rPr>
                <w:sz w:val="21"/>
                <w:szCs w:val="21"/>
              </w:rPr>
            </w:pPr>
            <w:r>
              <w:rPr>
                <w:spacing w:val="-4"/>
                <w:sz w:val="21"/>
                <w:szCs w:val="21"/>
              </w:rPr>
              <w:t>不允许</w:t>
            </w:r>
          </w:p>
        </w:tc>
      </w:tr>
      <w:tr w14:paraId="4A8672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5" w:hRule="atLeast"/>
          <w:jc w:val="center"/>
        </w:trPr>
        <w:tc>
          <w:tcPr>
            <w:tcW w:w="782" w:type="dxa"/>
          </w:tcPr>
          <w:p w14:paraId="26C25176">
            <w:pPr>
              <w:pStyle w:val="76"/>
              <w:rPr>
                <w:b/>
                <w:sz w:val="21"/>
                <w:szCs w:val="21"/>
              </w:rPr>
            </w:pPr>
          </w:p>
          <w:p w14:paraId="7E7E2C23">
            <w:pPr>
              <w:pStyle w:val="76"/>
              <w:rPr>
                <w:b/>
                <w:sz w:val="21"/>
                <w:szCs w:val="21"/>
              </w:rPr>
            </w:pPr>
          </w:p>
          <w:p w14:paraId="243B5B50">
            <w:pPr>
              <w:pStyle w:val="76"/>
              <w:rPr>
                <w:b/>
                <w:sz w:val="21"/>
                <w:szCs w:val="21"/>
              </w:rPr>
            </w:pPr>
          </w:p>
          <w:p w14:paraId="57BFE11F">
            <w:pPr>
              <w:pStyle w:val="76"/>
              <w:rPr>
                <w:b/>
                <w:sz w:val="21"/>
                <w:szCs w:val="21"/>
              </w:rPr>
            </w:pPr>
          </w:p>
          <w:p w14:paraId="1E8B0B0B">
            <w:pPr>
              <w:pStyle w:val="76"/>
              <w:rPr>
                <w:b/>
                <w:sz w:val="21"/>
                <w:szCs w:val="21"/>
              </w:rPr>
            </w:pPr>
          </w:p>
          <w:p w14:paraId="46ACB1E7">
            <w:pPr>
              <w:pStyle w:val="76"/>
              <w:spacing w:before="137"/>
              <w:rPr>
                <w:b/>
                <w:sz w:val="21"/>
                <w:szCs w:val="21"/>
              </w:rPr>
            </w:pPr>
          </w:p>
          <w:p w14:paraId="3C04335C">
            <w:pPr>
              <w:pStyle w:val="76"/>
              <w:ind w:left="10"/>
              <w:jc w:val="center"/>
              <w:rPr>
                <w:sz w:val="21"/>
                <w:szCs w:val="21"/>
              </w:rPr>
            </w:pPr>
            <w:r>
              <w:rPr>
                <w:spacing w:val="-2"/>
                <w:sz w:val="21"/>
                <w:szCs w:val="21"/>
              </w:rPr>
              <w:t>3.7.3</w:t>
            </w:r>
          </w:p>
        </w:tc>
        <w:tc>
          <w:tcPr>
            <w:tcW w:w="1575" w:type="dxa"/>
          </w:tcPr>
          <w:p w14:paraId="7F2DD6E7">
            <w:pPr>
              <w:pStyle w:val="76"/>
              <w:rPr>
                <w:b/>
                <w:sz w:val="21"/>
                <w:szCs w:val="21"/>
              </w:rPr>
            </w:pPr>
          </w:p>
          <w:p w14:paraId="4253F7FC">
            <w:pPr>
              <w:pStyle w:val="76"/>
              <w:rPr>
                <w:b/>
                <w:sz w:val="21"/>
                <w:szCs w:val="21"/>
              </w:rPr>
            </w:pPr>
          </w:p>
          <w:p w14:paraId="59657A37">
            <w:pPr>
              <w:pStyle w:val="76"/>
              <w:rPr>
                <w:b/>
                <w:sz w:val="21"/>
                <w:szCs w:val="21"/>
              </w:rPr>
            </w:pPr>
          </w:p>
          <w:p w14:paraId="3C5701A1">
            <w:pPr>
              <w:pStyle w:val="76"/>
              <w:rPr>
                <w:b/>
                <w:sz w:val="21"/>
                <w:szCs w:val="21"/>
              </w:rPr>
            </w:pPr>
          </w:p>
          <w:p w14:paraId="26038C33">
            <w:pPr>
              <w:pStyle w:val="76"/>
              <w:spacing w:before="319"/>
              <w:rPr>
                <w:b/>
                <w:sz w:val="21"/>
                <w:szCs w:val="21"/>
              </w:rPr>
            </w:pPr>
          </w:p>
          <w:p w14:paraId="4BCFCA8E">
            <w:pPr>
              <w:pStyle w:val="76"/>
              <w:spacing w:line="364" w:lineRule="auto"/>
              <w:ind w:left="-80" w:right="36" w:firstLine="132"/>
              <w:jc w:val="center"/>
              <w:rPr>
                <w:sz w:val="21"/>
                <w:szCs w:val="21"/>
              </w:rPr>
            </w:pPr>
            <w:r>
              <w:rPr>
                <w:spacing w:val="-2"/>
                <w:sz w:val="21"/>
                <w:szCs w:val="21"/>
              </w:rPr>
              <w:t>签字和（或）盖</w:t>
            </w:r>
            <w:r>
              <w:rPr>
                <w:spacing w:val="-4"/>
                <w:sz w:val="21"/>
                <w:szCs w:val="21"/>
              </w:rPr>
              <w:t>章要求</w:t>
            </w:r>
          </w:p>
        </w:tc>
        <w:tc>
          <w:tcPr>
            <w:tcW w:w="6714" w:type="dxa"/>
          </w:tcPr>
          <w:p w14:paraId="6696826A">
            <w:pPr>
              <w:pStyle w:val="76"/>
              <w:tabs>
                <w:tab w:val="left" w:pos="532"/>
              </w:tabs>
              <w:spacing w:before="3"/>
              <w:rPr>
                <w:sz w:val="21"/>
                <w:szCs w:val="21"/>
              </w:rPr>
            </w:pPr>
            <w:r>
              <w:rPr>
                <w:rFonts w:hint="eastAsia"/>
                <w:spacing w:val="-2"/>
                <w:sz w:val="21"/>
                <w:szCs w:val="21"/>
              </w:rPr>
              <w:t>1</w:t>
            </w:r>
            <w:r>
              <w:rPr>
                <w:spacing w:val="-2"/>
                <w:sz w:val="21"/>
                <w:szCs w:val="21"/>
              </w:rPr>
              <w:t>.所有要求供应商加盖公章的地方均用供应商的CA</w:t>
            </w:r>
            <w:r>
              <w:rPr>
                <w:spacing w:val="-4"/>
                <w:sz w:val="21"/>
                <w:szCs w:val="21"/>
              </w:rPr>
              <w:t>锁进行电子签章。</w:t>
            </w:r>
          </w:p>
          <w:p w14:paraId="6EA80292">
            <w:pPr>
              <w:pStyle w:val="76"/>
              <w:tabs>
                <w:tab w:val="left" w:pos="532"/>
              </w:tabs>
              <w:spacing w:before="139" w:line="364" w:lineRule="auto"/>
              <w:ind w:left="7" w:right="74"/>
              <w:rPr>
                <w:sz w:val="21"/>
                <w:szCs w:val="21"/>
              </w:rPr>
            </w:pPr>
            <w:r>
              <w:rPr>
                <w:rFonts w:hint="eastAsia"/>
                <w:spacing w:val="-2"/>
                <w:sz w:val="21"/>
                <w:szCs w:val="21"/>
              </w:rPr>
              <w:t>2</w:t>
            </w:r>
            <w:r>
              <w:rPr>
                <w:spacing w:val="-2"/>
                <w:sz w:val="21"/>
                <w:szCs w:val="21"/>
              </w:rPr>
              <w:t>.所有要求法定代表人签字或盖章的地方均用法定代表人的CA锁进行电子签章。若由委托代理人签字或盖章，且委托代理人没有CA锁的，则响应文件需上传有委托代理人手写签名的扫描件。</w:t>
            </w:r>
          </w:p>
          <w:p w14:paraId="739783D7">
            <w:pPr>
              <w:pStyle w:val="76"/>
              <w:tabs>
                <w:tab w:val="left" w:pos="532"/>
              </w:tabs>
              <w:spacing w:line="364" w:lineRule="auto"/>
              <w:ind w:left="7" w:right="177"/>
              <w:rPr>
                <w:sz w:val="21"/>
                <w:szCs w:val="21"/>
              </w:rPr>
            </w:pPr>
            <w:r>
              <w:rPr>
                <w:rFonts w:hint="eastAsia"/>
                <w:spacing w:val="-2"/>
                <w:sz w:val="21"/>
                <w:szCs w:val="21"/>
              </w:rPr>
              <w:t>3</w:t>
            </w:r>
            <w:r>
              <w:rPr>
                <w:spacing w:val="-2"/>
                <w:sz w:val="21"/>
                <w:szCs w:val="21"/>
              </w:rPr>
              <w:t>.工程量清单封面的签字、盖章按如下要求：封面须加盖供应商公章、法定代表人或其授权人的印章或签字、注册在本单位的造价人员执业资格专用章及签字；如本单位无造价人员，应委托相应中介机构编制工程量清单报价并加盖其注册造价人员执业资格专用章和签字、造价委托协议和公章。授权人、造价员或委托的造价中介机构等若未办理CA</w:t>
            </w:r>
            <w:r>
              <w:rPr>
                <w:spacing w:val="40"/>
                <w:sz w:val="21"/>
                <w:szCs w:val="21"/>
              </w:rPr>
              <w:t xml:space="preserve"> </w:t>
            </w:r>
            <w:r>
              <w:rPr>
                <w:spacing w:val="-2"/>
                <w:sz w:val="21"/>
                <w:szCs w:val="21"/>
              </w:rPr>
              <w:t>锁，则需上传手动签字的扫描件；</w:t>
            </w:r>
          </w:p>
        </w:tc>
      </w:tr>
      <w:tr w14:paraId="62729C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5" w:hRule="atLeast"/>
          <w:jc w:val="center"/>
        </w:trPr>
        <w:tc>
          <w:tcPr>
            <w:tcW w:w="782" w:type="dxa"/>
          </w:tcPr>
          <w:p w14:paraId="449A72F8">
            <w:pPr>
              <w:pStyle w:val="76"/>
              <w:spacing w:before="25"/>
              <w:rPr>
                <w:b/>
                <w:sz w:val="21"/>
                <w:szCs w:val="21"/>
              </w:rPr>
            </w:pPr>
          </w:p>
          <w:p w14:paraId="12C78093">
            <w:pPr>
              <w:pStyle w:val="76"/>
              <w:ind w:left="10"/>
              <w:jc w:val="center"/>
              <w:rPr>
                <w:sz w:val="21"/>
                <w:szCs w:val="21"/>
              </w:rPr>
            </w:pPr>
            <w:r>
              <w:rPr>
                <w:spacing w:val="-2"/>
                <w:sz w:val="21"/>
                <w:szCs w:val="21"/>
              </w:rPr>
              <w:t>4.1.1</w:t>
            </w:r>
          </w:p>
        </w:tc>
        <w:tc>
          <w:tcPr>
            <w:tcW w:w="1575" w:type="dxa"/>
          </w:tcPr>
          <w:p w14:paraId="45A9818A">
            <w:pPr>
              <w:pStyle w:val="76"/>
              <w:spacing w:before="3" w:line="364" w:lineRule="auto"/>
              <w:ind w:left="52" w:right="36"/>
              <w:jc w:val="center"/>
              <w:rPr>
                <w:sz w:val="21"/>
                <w:szCs w:val="21"/>
              </w:rPr>
            </w:pPr>
            <w:r>
              <w:rPr>
                <w:spacing w:val="-2"/>
                <w:sz w:val="21"/>
                <w:szCs w:val="21"/>
              </w:rPr>
              <w:t>响应文件上传/</w:t>
            </w:r>
            <w:r>
              <w:rPr>
                <w:spacing w:val="-4"/>
                <w:sz w:val="21"/>
                <w:szCs w:val="21"/>
              </w:rPr>
              <w:t>递交截止时间及</w:t>
            </w:r>
            <w:r>
              <w:rPr>
                <w:spacing w:val="-5"/>
                <w:sz w:val="21"/>
                <w:szCs w:val="21"/>
              </w:rPr>
              <w:t>地点</w:t>
            </w:r>
          </w:p>
        </w:tc>
        <w:tc>
          <w:tcPr>
            <w:tcW w:w="6714" w:type="dxa"/>
            <w:vAlign w:val="center"/>
          </w:tcPr>
          <w:p w14:paraId="17986303">
            <w:pPr>
              <w:pStyle w:val="76"/>
              <w:spacing w:before="1"/>
              <w:ind w:left="7"/>
              <w:rPr>
                <w:spacing w:val="-3"/>
                <w:sz w:val="21"/>
                <w:szCs w:val="21"/>
              </w:rPr>
            </w:pPr>
            <w:r>
              <w:rPr>
                <w:spacing w:val="-3"/>
                <w:sz w:val="21"/>
                <w:szCs w:val="21"/>
              </w:rPr>
              <w:t>时间：详见第一章竞争性磋商公告</w:t>
            </w:r>
          </w:p>
          <w:p w14:paraId="7D216ED6">
            <w:pPr>
              <w:pStyle w:val="76"/>
              <w:spacing w:before="1"/>
              <w:ind w:left="7"/>
              <w:rPr>
                <w:spacing w:val="-3"/>
                <w:sz w:val="21"/>
                <w:szCs w:val="21"/>
              </w:rPr>
            </w:pPr>
            <w:r>
              <w:rPr>
                <w:spacing w:val="-3"/>
                <w:sz w:val="21"/>
                <w:szCs w:val="21"/>
              </w:rPr>
              <w:t>地点：详见第一章竞争性磋商公告</w:t>
            </w:r>
          </w:p>
        </w:tc>
      </w:tr>
      <w:tr w14:paraId="0AAAAA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5" w:hRule="atLeast"/>
          <w:jc w:val="center"/>
        </w:trPr>
        <w:tc>
          <w:tcPr>
            <w:tcW w:w="782" w:type="dxa"/>
          </w:tcPr>
          <w:p w14:paraId="17FEEF15">
            <w:pPr>
              <w:pStyle w:val="76"/>
              <w:spacing w:before="25"/>
              <w:rPr>
                <w:b/>
                <w:sz w:val="21"/>
                <w:szCs w:val="21"/>
              </w:rPr>
            </w:pPr>
          </w:p>
          <w:p w14:paraId="5A9E8146">
            <w:pPr>
              <w:pStyle w:val="76"/>
              <w:ind w:left="10"/>
              <w:jc w:val="center"/>
              <w:rPr>
                <w:sz w:val="21"/>
                <w:szCs w:val="21"/>
              </w:rPr>
            </w:pPr>
            <w:r>
              <w:rPr>
                <w:spacing w:val="-2"/>
                <w:sz w:val="21"/>
                <w:szCs w:val="21"/>
              </w:rPr>
              <w:t>4.1.2</w:t>
            </w:r>
          </w:p>
        </w:tc>
        <w:tc>
          <w:tcPr>
            <w:tcW w:w="1575" w:type="dxa"/>
          </w:tcPr>
          <w:p w14:paraId="129816E6">
            <w:pPr>
              <w:pStyle w:val="76"/>
              <w:spacing w:before="205" w:line="367" w:lineRule="auto"/>
              <w:ind w:right="247"/>
              <w:jc w:val="center"/>
              <w:rPr>
                <w:sz w:val="21"/>
                <w:szCs w:val="21"/>
              </w:rPr>
            </w:pPr>
            <w:r>
              <w:rPr>
                <w:spacing w:val="-6"/>
                <w:sz w:val="21"/>
                <w:szCs w:val="21"/>
              </w:rPr>
              <w:t>响应</w:t>
            </w:r>
            <w:r>
              <w:rPr>
                <w:spacing w:val="-2"/>
                <w:sz w:val="21"/>
                <w:szCs w:val="21"/>
              </w:rPr>
              <w:t>文件的递交</w:t>
            </w:r>
          </w:p>
        </w:tc>
        <w:tc>
          <w:tcPr>
            <w:tcW w:w="6714" w:type="dxa"/>
          </w:tcPr>
          <w:p w14:paraId="14385D29">
            <w:pPr>
              <w:pStyle w:val="76"/>
              <w:spacing w:before="1"/>
              <w:ind w:left="7"/>
              <w:rPr>
                <w:sz w:val="21"/>
                <w:szCs w:val="21"/>
              </w:rPr>
            </w:pPr>
            <w:r>
              <w:rPr>
                <w:spacing w:val="-3"/>
                <w:sz w:val="21"/>
                <w:szCs w:val="21"/>
              </w:rPr>
              <w:t>供应商应在不迟于“供应商须知前附表”中规定的截止时间前将竞争性</w:t>
            </w:r>
          </w:p>
          <w:p w14:paraId="7F8EE949">
            <w:pPr>
              <w:pStyle w:val="76"/>
              <w:spacing w:before="10" w:line="400" w:lineRule="atLeast"/>
              <w:ind w:left="7" w:right="177"/>
              <w:rPr>
                <w:sz w:val="21"/>
                <w:szCs w:val="21"/>
              </w:rPr>
            </w:pPr>
            <w:r>
              <w:rPr>
                <w:spacing w:val="-2"/>
                <w:sz w:val="21"/>
                <w:szCs w:val="21"/>
              </w:rPr>
              <w:t>磋商响应文件加密上传至交易平台，并在系统规定的时间内使用CA数字证书进行现场解密。迟交的电子响应文件将不被接收。</w:t>
            </w:r>
          </w:p>
        </w:tc>
      </w:tr>
      <w:tr w14:paraId="650DCE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5" w:hRule="atLeast"/>
          <w:jc w:val="center"/>
        </w:trPr>
        <w:tc>
          <w:tcPr>
            <w:tcW w:w="782" w:type="dxa"/>
          </w:tcPr>
          <w:p w14:paraId="553E65D4">
            <w:pPr>
              <w:pStyle w:val="76"/>
              <w:spacing w:before="205"/>
              <w:ind w:left="10"/>
              <w:jc w:val="center"/>
              <w:rPr>
                <w:sz w:val="21"/>
                <w:szCs w:val="21"/>
              </w:rPr>
            </w:pPr>
            <w:r>
              <w:rPr>
                <w:spacing w:val="-5"/>
                <w:sz w:val="21"/>
                <w:szCs w:val="21"/>
              </w:rPr>
              <w:t>5.1</w:t>
            </w:r>
          </w:p>
        </w:tc>
        <w:tc>
          <w:tcPr>
            <w:tcW w:w="1575" w:type="dxa"/>
          </w:tcPr>
          <w:p w14:paraId="4172E4C8">
            <w:pPr>
              <w:pStyle w:val="76"/>
              <w:spacing w:before="205"/>
              <w:ind w:left="14"/>
              <w:jc w:val="center"/>
              <w:rPr>
                <w:sz w:val="21"/>
                <w:szCs w:val="21"/>
              </w:rPr>
            </w:pPr>
            <w:r>
              <w:rPr>
                <w:spacing w:val="-4"/>
                <w:sz w:val="21"/>
                <w:szCs w:val="21"/>
              </w:rPr>
              <w:t>开启时间和地点</w:t>
            </w:r>
          </w:p>
        </w:tc>
        <w:tc>
          <w:tcPr>
            <w:tcW w:w="6714" w:type="dxa"/>
          </w:tcPr>
          <w:p w14:paraId="79C7AF0F">
            <w:pPr>
              <w:pStyle w:val="76"/>
              <w:spacing w:before="1"/>
              <w:ind w:left="7"/>
              <w:rPr>
                <w:sz w:val="21"/>
                <w:szCs w:val="21"/>
              </w:rPr>
            </w:pPr>
            <w:r>
              <w:rPr>
                <w:spacing w:val="-3"/>
                <w:sz w:val="21"/>
                <w:szCs w:val="21"/>
              </w:rPr>
              <w:t>时间：详见第一章竞争性磋商公告</w:t>
            </w:r>
          </w:p>
          <w:p w14:paraId="0967975B">
            <w:pPr>
              <w:pStyle w:val="76"/>
              <w:spacing w:before="139"/>
              <w:ind w:left="7"/>
              <w:rPr>
                <w:sz w:val="21"/>
                <w:szCs w:val="21"/>
              </w:rPr>
            </w:pPr>
            <w:r>
              <w:rPr>
                <w:spacing w:val="-3"/>
                <w:sz w:val="21"/>
                <w:szCs w:val="21"/>
              </w:rPr>
              <w:t>地点：详见第一章竞争性磋商公告</w:t>
            </w:r>
          </w:p>
        </w:tc>
      </w:tr>
      <w:tr w14:paraId="36633F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5" w:hRule="atLeast"/>
          <w:jc w:val="center"/>
        </w:trPr>
        <w:tc>
          <w:tcPr>
            <w:tcW w:w="782" w:type="dxa"/>
          </w:tcPr>
          <w:p w14:paraId="170E54E5">
            <w:pPr>
              <w:pStyle w:val="76"/>
              <w:spacing w:before="205"/>
              <w:ind w:left="10"/>
              <w:jc w:val="center"/>
              <w:rPr>
                <w:sz w:val="21"/>
                <w:szCs w:val="21"/>
              </w:rPr>
            </w:pPr>
            <w:r>
              <w:rPr>
                <w:spacing w:val="-2"/>
                <w:sz w:val="21"/>
                <w:szCs w:val="21"/>
              </w:rPr>
              <w:t>6.1.1</w:t>
            </w:r>
          </w:p>
        </w:tc>
        <w:tc>
          <w:tcPr>
            <w:tcW w:w="1575" w:type="dxa"/>
          </w:tcPr>
          <w:p w14:paraId="7D7E1302">
            <w:pPr>
              <w:pStyle w:val="76"/>
              <w:spacing w:before="205"/>
              <w:ind w:left="14"/>
              <w:jc w:val="center"/>
              <w:rPr>
                <w:sz w:val="21"/>
                <w:szCs w:val="21"/>
              </w:rPr>
            </w:pPr>
            <w:r>
              <w:rPr>
                <w:spacing w:val="-4"/>
                <w:sz w:val="21"/>
                <w:szCs w:val="21"/>
              </w:rPr>
              <w:t>磋商小组的组建</w:t>
            </w:r>
          </w:p>
        </w:tc>
        <w:tc>
          <w:tcPr>
            <w:tcW w:w="6714" w:type="dxa"/>
          </w:tcPr>
          <w:p w14:paraId="7DB8FABF">
            <w:pPr>
              <w:pStyle w:val="76"/>
              <w:spacing w:before="1"/>
              <w:ind w:left="7"/>
              <w:rPr>
                <w:sz w:val="21"/>
                <w:szCs w:val="21"/>
              </w:rPr>
            </w:pPr>
            <w:r>
              <w:rPr>
                <w:spacing w:val="-2"/>
                <w:sz w:val="21"/>
                <w:szCs w:val="21"/>
              </w:rPr>
              <w:t>磋商小组构成：3人，其中采购人代表1人，经济技术专家2</w:t>
            </w:r>
            <w:r>
              <w:rPr>
                <w:spacing w:val="-4"/>
                <w:sz w:val="21"/>
                <w:szCs w:val="21"/>
              </w:rPr>
              <w:t>人组成。</w:t>
            </w:r>
          </w:p>
          <w:p w14:paraId="7F153BC6">
            <w:pPr>
              <w:pStyle w:val="76"/>
              <w:spacing w:before="139"/>
              <w:ind w:left="7"/>
              <w:rPr>
                <w:sz w:val="21"/>
                <w:szCs w:val="21"/>
              </w:rPr>
            </w:pPr>
            <w:r>
              <w:rPr>
                <w:spacing w:val="-3"/>
                <w:sz w:val="21"/>
                <w:szCs w:val="21"/>
              </w:rPr>
              <w:t>评审专家确定方式：从河南省财政厅政府采购专家库中随机抽取。</w:t>
            </w:r>
          </w:p>
        </w:tc>
      </w:tr>
      <w:tr w14:paraId="2599CC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5" w:hRule="atLeast"/>
          <w:jc w:val="center"/>
        </w:trPr>
        <w:tc>
          <w:tcPr>
            <w:tcW w:w="782" w:type="dxa"/>
          </w:tcPr>
          <w:p w14:paraId="31D7C8F7">
            <w:pPr>
              <w:pStyle w:val="76"/>
              <w:spacing w:before="25"/>
              <w:rPr>
                <w:b/>
                <w:sz w:val="21"/>
                <w:szCs w:val="21"/>
              </w:rPr>
            </w:pPr>
          </w:p>
          <w:p w14:paraId="19675C81">
            <w:pPr>
              <w:pStyle w:val="76"/>
              <w:ind w:left="10"/>
              <w:jc w:val="center"/>
              <w:rPr>
                <w:sz w:val="21"/>
                <w:szCs w:val="21"/>
              </w:rPr>
            </w:pPr>
            <w:r>
              <w:rPr>
                <w:spacing w:val="-2"/>
                <w:sz w:val="21"/>
                <w:szCs w:val="21"/>
              </w:rPr>
              <w:t>6.3.2</w:t>
            </w:r>
          </w:p>
        </w:tc>
        <w:tc>
          <w:tcPr>
            <w:tcW w:w="1575" w:type="dxa"/>
          </w:tcPr>
          <w:p w14:paraId="0D357D4B">
            <w:pPr>
              <w:pStyle w:val="76"/>
              <w:spacing w:before="1"/>
              <w:ind w:left="52"/>
              <w:jc w:val="center"/>
              <w:rPr>
                <w:sz w:val="21"/>
                <w:szCs w:val="21"/>
              </w:rPr>
            </w:pPr>
            <w:r>
              <w:rPr>
                <w:spacing w:val="-4"/>
                <w:sz w:val="21"/>
                <w:szCs w:val="21"/>
              </w:rPr>
              <w:t>是否授权磋商小</w:t>
            </w:r>
            <w:r>
              <w:rPr>
                <w:spacing w:val="-2"/>
                <w:sz w:val="21"/>
                <w:szCs w:val="21"/>
              </w:rPr>
              <w:t>组确定成交供应</w:t>
            </w:r>
            <w:r>
              <w:rPr>
                <w:spacing w:val="-10"/>
                <w:sz w:val="21"/>
                <w:szCs w:val="21"/>
              </w:rPr>
              <w:t>商</w:t>
            </w:r>
          </w:p>
        </w:tc>
        <w:tc>
          <w:tcPr>
            <w:tcW w:w="6714" w:type="dxa"/>
          </w:tcPr>
          <w:p w14:paraId="457C2514">
            <w:pPr>
              <w:pStyle w:val="76"/>
              <w:spacing w:before="25"/>
              <w:rPr>
                <w:b/>
                <w:sz w:val="21"/>
                <w:szCs w:val="21"/>
              </w:rPr>
            </w:pPr>
          </w:p>
          <w:p w14:paraId="529D10D4">
            <w:pPr>
              <w:pStyle w:val="76"/>
              <w:ind w:left="7"/>
              <w:rPr>
                <w:sz w:val="21"/>
                <w:szCs w:val="21"/>
              </w:rPr>
            </w:pPr>
            <w:r>
              <w:rPr>
                <w:spacing w:val="-2"/>
                <w:sz w:val="21"/>
                <w:szCs w:val="21"/>
              </w:rPr>
              <w:t>否；推荐的成交候选供应商数量：3</w:t>
            </w:r>
            <w:r>
              <w:rPr>
                <w:spacing w:val="-10"/>
                <w:sz w:val="21"/>
                <w:szCs w:val="21"/>
              </w:rPr>
              <w:t>名</w:t>
            </w:r>
          </w:p>
        </w:tc>
      </w:tr>
      <w:tr w14:paraId="6D9C39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5" w:hRule="atLeast"/>
          <w:jc w:val="center"/>
        </w:trPr>
        <w:tc>
          <w:tcPr>
            <w:tcW w:w="782" w:type="dxa"/>
            <w:vAlign w:val="center"/>
          </w:tcPr>
          <w:p w14:paraId="0239A7A5">
            <w:pPr>
              <w:pStyle w:val="76"/>
              <w:spacing w:before="80"/>
              <w:ind w:left="10"/>
              <w:jc w:val="center"/>
              <w:rPr>
                <w:sz w:val="21"/>
                <w:szCs w:val="21"/>
              </w:rPr>
            </w:pPr>
            <w:r>
              <w:rPr>
                <w:spacing w:val="-2"/>
                <w:sz w:val="21"/>
                <w:szCs w:val="21"/>
              </w:rPr>
              <w:t>7.4.1</w:t>
            </w:r>
          </w:p>
        </w:tc>
        <w:tc>
          <w:tcPr>
            <w:tcW w:w="1575" w:type="dxa"/>
            <w:vAlign w:val="center"/>
          </w:tcPr>
          <w:p w14:paraId="2D7BC23B">
            <w:pPr>
              <w:pStyle w:val="76"/>
              <w:spacing w:before="80"/>
              <w:ind w:left="14" w:right="2"/>
              <w:jc w:val="center"/>
              <w:rPr>
                <w:sz w:val="21"/>
                <w:szCs w:val="21"/>
              </w:rPr>
            </w:pPr>
            <w:r>
              <w:rPr>
                <w:spacing w:val="-4"/>
                <w:sz w:val="21"/>
                <w:szCs w:val="21"/>
              </w:rPr>
              <w:t>履约保证金</w:t>
            </w:r>
          </w:p>
        </w:tc>
        <w:tc>
          <w:tcPr>
            <w:tcW w:w="6714" w:type="dxa"/>
            <w:vAlign w:val="center"/>
          </w:tcPr>
          <w:p w14:paraId="6D2CBC21">
            <w:pPr>
              <w:pStyle w:val="76"/>
              <w:spacing w:before="80"/>
              <w:ind w:left="7"/>
              <w:rPr>
                <w:sz w:val="21"/>
                <w:szCs w:val="21"/>
              </w:rPr>
            </w:pPr>
            <w:r>
              <w:rPr>
                <w:spacing w:val="-10"/>
                <w:sz w:val="21"/>
                <w:szCs w:val="21"/>
              </w:rPr>
              <w:t>无</w:t>
            </w:r>
          </w:p>
        </w:tc>
      </w:tr>
      <w:tr w14:paraId="49C98B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5" w:hRule="atLeast"/>
          <w:jc w:val="center"/>
        </w:trPr>
        <w:tc>
          <w:tcPr>
            <w:tcW w:w="782" w:type="dxa"/>
            <w:vAlign w:val="center"/>
          </w:tcPr>
          <w:p w14:paraId="28857F0C">
            <w:pPr>
              <w:pStyle w:val="76"/>
              <w:spacing w:before="80"/>
              <w:ind w:left="10"/>
              <w:jc w:val="center"/>
              <w:rPr>
                <w:sz w:val="21"/>
                <w:szCs w:val="21"/>
              </w:rPr>
            </w:pPr>
            <w:r>
              <w:rPr>
                <w:spacing w:val="-2"/>
                <w:sz w:val="21"/>
                <w:szCs w:val="21"/>
              </w:rPr>
              <w:t>7.6.1</w:t>
            </w:r>
          </w:p>
        </w:tc>
        <w:tc>
          <w:tcPr>
            <w:tcW w:w="1575" w:type="dxa"/>
            <w:vAlign w:val="center"/>
          </w:tcPr>
          <w:p w14:paraId="12620459">
            <w:pPr>
              <w:pStyle w:val="76"/>
              <w:spacing w:before="80"/>
              <w:ind w:left="14" w:right="2"/>
              <w:jc w:val="center"/>
              <w:rPr>
                <w:sz w:val="21"/>
                <w:szCs w:val="21"/>
              </w:rPr>
            </w:pPr>
            <w:r>
              <w:rPr>
                <w:spacing w:val="-4"/>
                <w:sz w:val="21"/>
                <w:szCs w:val="21"/>
              </w:rPr>
              <w:t>付款方式</w:t>
            </w:r>
          </w:p>
        </w:tc>
        <w:tc>
          <w:tcPr>
            <w:tcW w:w="6714" w:type="dxa"/>
            <w:vAlign w:val="center"/>
          </w:tcPr>
          <w:p w14:paraId="64DF931A">
            <w:pPr>
              <w:spacing w:line="360" w:lineRule="auto"/>
              <w:rPr>
                <w:sz w:val="21"/>
                <w:szCs w:val="21"/>
              </w:rPr>
            </w:pPr>
            <w:r>
              <w:rPr>
                <w:rFonts w:hint="eastAsia"/>
                <w:sz w:val="21"/>
                <w:szCs w:val="21"/>
              </w:rPr>
              <w:t>设备材料进场后支付</w:t>
            </w:r>
            <w:r>
              <w:rPr>
                <w:sz w:val="21"/>
                <w:szCs w:val="21"/>
              </w:rPr>
              <w:t>20%；项目竣工完成验收后支付90%；结算审核完成后按审定金额支付剩余全部工程款。</w:t>
            </w:r>
          </w:p>
        </w:tc>
      </w:tr>
      <w:tr w14:paraId="0612C5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5" w:hRule="atLeast"/>
          <w:jc w:val="center"/>
        </w:trPr>
        <w:tc>
          <w:tcPr>
            <w:tcW w:w="782" w:type="dxa"/>
          </w:tcPr>
          <w:p w14:paraId="3E9BCA9A">
            <w:pPr>
              <w:pStyle w:val="76"/>
              <w:rPr>
                <w:b/>
                <w:sz w:val="21"/>
                <w:szCs w:val="21"/>
              </w:rPr>
            </w:pPr>
          </w:p>
          <w:p w14:paraId="2A98B16E">
            <w:pPr>
              <w:pStyle w:val="76"/>
              <w:rPr>
                <w:b/>
                <w:sz w:val="21"/>
                <w:szCs w:val="21"/>
              </w:rPr>
            </w:pPr>
          </w:p>
          <w:p w14:paraId="5A5D57FF">
            <w:pPr>
              <w:pStyle w:val="76"/>
              <w:rPr>
                <w:b/>
                <w:sz w:val="21"/>
                <w:szCs w:val="21"/>
              </w:rPr>
            </w:pPr>
          </w:p>
          <w:p w14:paraId="18D8F6F3">
            <w:pPr>
              <w:pStyle w:val="76"/>
              <w:rPr>
                <w:b/>
                <w:sz w:val="21"/>
                <w:szCs w:val="21"/>
              </w:rPr>
            </w:pPr>
          </w:p>
          <w:p w14:paraId="407AA829">
            <w:pPr>
              <w:pStyle w:val="76"/>
              <w:rPr>
                <w:b/>
                <w:sz w:val="21"/>
                <w:szCs w:val="21"/>
              </w:rPr>
            </w:pPr>
          </w:p>
          <w:p w14:paraId="3B4A4E6B">
            <w:pPr>
              <w:pStyle w:val="76"/>
              <w:spacing w:before="134"/>
              <w:rPr>
                <w:b/>
                <w:sz w:val="21"/>
                <w:szCs w:val="21"/>
              </w:rPr>
            </w:pPr>
          </w:p>
          <w:p w14:paraId="15066856">
            <w:pPr>
              <w:pStyle w:val="76"/>
              <w:ind w:left="10"/>
              <w:jc w:val="center"/>
              <w:rPr>
                <w:sz w:val="21"/>
                <w:szCs w:val="21"/>
              </w:rPr>
            </w:pPr>
            <w:r>
              <w:rPr>
                <w:spacing w:val="-2"/>
                <w:sz w:val="21"/>
                <w:szCs w:val="21"/>
              </w:rPr>
              <w:t>9.5.3</w:t>
            </w:r>
          </w:p>
        </w:tc>
        <w:tc>
          <w:tcPr>
            <w:tcW w:w="1575" w:type="dxa"/>
          </w:tcPr>
          <w:p w14:paraId="3B637794">
            <w:pPr>
              <w:pStyle w:val="76"/>
              <w:rPr>
                <w:b/>
                <w:sz w:val="21"/>
                <w:szCs w:val="21"/>
              </w:rPr>
            </w:pPr>
          </w:p>
          <w:p w14:paraId="157541C0">
            <w:pPr>
              <w:pStyle w:val="76"/>
              <w:rPr>
                <w:b/>
                <w:sz w:val="21"/>
                <w:szCs w:val="21"/>
              </w:rPr>
            </w:pPr>
          </w:p>
          <w:p w14:paraId="6E6E01CB">
            <w:pPr>
              <w:pStyle w:val="76"/>
              <w:rPr>
                <w:b/>
                <w:sz w:val="21"/>
                <w:szCs w:val="21"/>
              </w:rPr>
            </w:pPr>
          </w:p>
          <w:p w14:paraId="6E82AA95">
            <w:pPr>
              <w:pStyle w:val="76"/>
              <w:rPr>
                <w:b/>
                <w:sz w:val="21"/>
                <w:szCs w:val="21"/>
              </w:rPr>
            </w:pPr>
          </w:p>
          <w:p w14:paraId="7E832607">
            <w:pPr>
              <w:pStyle w:val="76"/>
              <w:rPr>
                <w:b/>
                <w:sz w:val="21"/>
                <w:szCs w:val="21"/>
              </w:rPr>
            </w:pPr>
          </w:p>
          <w:p w14:paraId="082CF266">
            <w:pPr>
              <w:pStyle w:val="76"/>
              <w:spacing w:before="134"/>
              <w:rPr>
                <w:b/>
                <w:sz w:val="21"/>
                <w:szCs w:val="21"/>
              </w:rPr>
            </w:pPr>
          </w:p>
          <w:p w14:paraId="79C89F70">
            <w:pPr>
              <w:pStyle w:val="76"/>
              <w:ind w:left="14"/>
              <w:jc w:val="center"/>
              <w:rPr>
                <w:sz w:val="21"/>
                <w:szCs w:val="21"/>
              </w:rPr>
            </w:pPr>
            <w:r>
              <w:rPr>
                <w:spacing w:val="-5"/>
                <w:sz w:val="21"/>
                <w:szCs w:val="21"/>
              </w:rPr>
              <w:t>质疑</w:t>
            </w:r>
          </w:p>
        </w:tc>
        <w:tc>
          <w:tcPr>
            <w:tcW w:w="6714" w:type="dxa"/>
          </w:tcPr>
          <w:p w14:paraId="14791BEB">
            <w:pPr>
              <w:spacing w:line="360" w:lineRule="auto"/>
              <w:rPr>
                <w:sz w:val="21"/>
                <w:szCs w:val="21"/>
              </w:rPr>
            </w:pPr>
            <w:r>
              <w:rPr>
                <w:sz w:val="21"/>
                <w:szCs w:val="21"/>
              </w:rPr>
              <w:t>一、供应商认为自己的权益受到损害的，可以在知道或者应知其权益受到损害之日起七个工作日内，向采购代理机构提出质疑。</w:t>
            </w:r>
          </w:p>
          <w:p w14:paraId="6BB615B9">
            <w:pPr>
              <w:spacing w:line="360" w:lineRule="auto"/>
              <w:rPr>
                <w:sz w:val="21"/>
                <w:szCs w:val="21"/>
              </w:rPr>
            </w:pPr>
            <w:r>
              <w:rPr>
                <w:sz w:val="21"/>
                <w:szCs w:val="21"/>
              </w:rPr>
              <w:t>1、接收质疑函的方式：接收加盖单位公章的书面纸质质疑函联系部门：</w:t>
            </w:r>
            <w:r>
              <w:rPr>
                <w:rFonts w:hint="eastAsia"/>
                <w:sz w:val="21"/>
                <w:szCs w:val="21"/>
              </w:rPr>
              <w:t>河南省光大建设管理有限公司</w:t>
            </w:r>
          </w:p>
          <w:p w14:paraId="07422CD0">
            <w:pPr>
              <w:spacing w:line="360" w:lineRule="auto"/>
              <w:rPr>
                <w:sz w:val="21"/>
                <w:szCs w:val="21"/>
              </w:rPr>
            </w:pPr>
            <w:r>
              <w:rPr>
                <w:sz w:val="21"/>
                <w:szCs w:val="21"/>
              </w:rPr>
              <w:t>联 系 人：</w:t>
            </w:r>
            <w:r>
              <w:rPr>
                <w:rFonts w:hint="eastAsia"/>
                <w:sz w:val="21"/>
                <w:szCs w:val="21"/>
              </w:rPr>
              <w:t>李女士</w:t>
            </w:r>
          </w:p>
          <w:p w14:paraId="41E65870">
            <w:pPr>
              <w:spacing w:line="360" w:lineRule="auto"/>
              <w:rPr>
                <w:sz w:val="21"/>
                <w:szCs w:val="21"/>
              </w:rPr>
            </w:pPr>
            <w:r>
              <w:rPr>
                <w:sz w:val="21"/>
                <w:szCs w:val="21"/>
              </w:rPr>
              <w:t>联系电话：15649093413</w:t>
            </w:r>
            <w:r>
              <w:rPr>
                <w:rFonts w:hint="eastAsia"/>
                <w:sz w:val="21"/>
                <w:szCs w:val="21"/>
              </w:rPr>
              <w:t>、</w:t>
            </w:r>
            <w:r>
              <w:rPr>
                <w:sz w:val="21"/>
                <w:szCs w:val="21"/>
              </w:rPr>
              <w:t xml:space="preserve">0371-86610696  </w:t>
            </w:r>
          </w:p>
          <w:p w14:paraId="3D7DD037">
            <w:pPr>
              <w:spacing w:line="360" w:lineRule="auto"/>
              <w:rPr>
                <w:sz w:val="21"/>
                <w:szCs w:val="21"/>
              </w:rPr>
            </w:pPr>
            <w:r>
              <w:rPr>
                <w:sz w:val="21"/>
                <w:szCs w:val="21"/>
              </w:rPr>
              <w:t>2、通讯地址：</w:t>
            </w:r>
            <w:r>
              <w:rPr>
                <w:rFonts w:hint="eastAsia"/>
                <w:sz w:val="21"/>
                <w:szCs w:val="21"/>
              </w:rPr>
              <w:t>郑州市北三环与中州大道交叉口西</w:t>
            </w:r>
            <w:r>
              <w:rPr>
                <w:sz w:val="21"/>
                <w:szCs w:val="21"/>
              </w:rPr>
              <w:t xml:space="preserve"> 500 米路北经三名筑9号楼10楼</w:t>
            </w:r>
          </w:p>
          <w:p w14:paraId="72F8B399">
            <w:pPr>
              <w:spacing w:line="360" w:lineRule="auto"/>
              <w:rPr>
                <w:sz w:val="21"/>
                <w:szCs w:val="21"/>
              </w:rPr>
            </w:pPr>
            <w:r>
              <w:rPr>
                <w:sz w:val="21"/>
                <w:szCs w:val="21"/>
              </w:rPr>
              <w:t>质疑函的内容、格式：应符合《政府采购质疑和投诉办法》相关规定和财政部门制定的《政府采购质疑函范本》格式。</w:t>
            </w:r>
          </w:p>
          <w:p w14:paraId="2E5D0725">
            <w:pPr>
              <w:spacing w:line="360" w:lineRule="auto"/>
              <w:rPr>
                <w:sz w:val="21"/>
                <w:szCs w:val="21"/>
              </w:rPr>
            </w:pPr>
            <w:r>
              <w:rPr>
                <w:sz w:val="21"/>
                <w:szCs w:val="21"/>
              </w:rPr>
              <w:t>二、供应商应在法定质疑期内一次性针对同一采购程序环节提出质疑，</w:t>
            </w:r>
          </w:p>
          <w:p w14:paraId="128469FB">
            <w:pPr>
              <w:spacing w:line="360" w:lineRule="auto"/>
              <w:rPr>
                <w:sz w:val="21"/>
                <w:szCs w:val="21"/>
              </w:rPr>
            </w:pPr>
            <w:r>
              <w:rPr>
                <w:sz w:val="21"/>
                <w:szCs w:val="21"/>
              </w:rPr>
              <w:t>否则针对再次提出质疑将不予接收。（采购程序环节分为：采购公告、采购文件、采购过程、成交结果）。</w:t>
            </w:r>
          </w:p>
        </w:tc>
      </w:tr>
      <w:tr w14:paraId="5980DE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5" w:hRule="atLeast"/>
          <w:jc w:val="center"/>
        </w:trPr>
        <w:tc>
          <w:tcPr>
            <w:tcW w:w="782" w:type="dxa"/>
            <w:vAlign w:val="center"/>
          </w:tcPr>
          <w:p w14:paraId="03801011">
            <w:pPr>
              <w:rPr>
                <w:sz w:val="21"/>
              </w:rPr>
            </w:pPr>
            <w:r>
              <w:rPr>
                <w:sz w:val="21"/>
              </w:rPr>
              <w:t>10</w:t>
            </w:r>
          </w:p>
        </w:tc>
        <w:tc>
          <w:tcPr>
            <w:tcW w:w="8289" w:type="dxa"/>
            <w:gridSpan w:val="2"/>
            <w:vAlign w:val="center"/>
          </w:tcPr>
          <w:p w14:paraId="2988E2C0">
            <w:pPr>
              <w:pStyle w:val="76"/>
              <w:spacing w:before="80"/>
              <w:ind w:left="4"/>
              <w:rPr>
                <w:sz w:val="21"/>
                <w:szCs w:val="21"/>
              </w:rPr>
            </w:pPr>
            <w:r>
              <w:rPr>
                <w:spacing w:val="-3"/>
                <w:sz w:val="21"/>
                <w:szCs w:val="21"/>
              </w:rPr>
              <w:t>需要补充的其他内容</w:t>
            </w:r>
          </w:p>
        </w:tc>
      </w:tr>
      <w:tr w14:paraId="7ACFDB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5" w:hRule="atLeast"/>
          <w:jc w:val="center"/>
        </w:trPr>
        <w:tc>
          <w:tcPr>
            <w:tcW w:w="782" w:type="dxa"/>
            <w:vAlign w:val="center"/>
          </w:tcPr>
          <w:p w14:paraId="416A001F">
            <w:pPr>
              <w:rPr>
                <w:sz w:val="21"/>
              </w:rPr>
            </w:pPr>
          </w:p>
          <w:p w14:paraId="0DEEA1A5">
            <w:pPr>
              <w:rPr>
                <w:sz w:val="21"/>
              </w:rPr>
            </w:pPr>
            <w:r>
              <w:rPr>
                <w:sz w:val="21"/>
              </w:rPr>
              <w:t>10.1</w:t>
            </w:r>
          </w:p>
        </w:tc>
        <w:tc>
          <w:tcPr>
            <w:tcW w:w="8289" w:type="dxa"/>
            <w:gridSpan w:val="2"/>
            <w:vAlign w:val="center"/>
          </w:tcPr>
          <w:p w14:paraId="37535BB0">
            <w:pPr>
              <w:pStyle w:val="76"/>
              <w:spacing w:line="320" w:lineRule="exact"/>
              <w:ind w:left="4"/>
              <w:rPr>
                <w:b/>
                <w:sz w:val="21"/>
                <w:szCs w:val="21"/>
              </w:rPr>
            </w:pPr>
            <w:r>
              <w:rPr>
                <w:b/>
                <w:sz w:val="21"/>
                <w:szCs w:val="21"/>
              </w:rPr>
              <w:t>本项目最高限价：1437470.34</w:t>
            </w:r>
            <w:r>
              <w:rPr>
                <w:b/>
                <w:spacing w:val="-10"/>
                <w:sz w:val="21"/>
                <w:szCs w:val="21"/>
              </w:rPr>
              <w:t>元</w:t>
            </w:r>
          </w:p>
          <w:p w14:paraId="5A2A187F">
            <w:pPr>
              <w:pStyle w:val="76"/>
              <w:spacing w:before="91"/>
              <w:ind w:left="4"/>
              <w:rPr>
                <w:sz w:val="21"/>
                <w:szCs w:val="21"/>
              </w:rPr>
            </w:pPr>
            <w:r>
              <w:rPr>
                <w:spacing w:val="-3"/>
                <w:sz w:val="21"/>
                <w:szCs w:val="21"/>
              </w:rPr>
              <w:t>各供应商报价不得超过最高限价，超过最高限价的响应文件按无效标处理。</w:t>
            </w:r>
          </w:p>
        </w:tc>
      </w:tr>
      <w:tr w14:paraId="4A02F3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5" w:hRule="atLeast"/>
          <w:jc w:val="center"/>
        </w:trPr>
        <w:tc>
          <w:tcPr>
            <w:tcW w:w="782" w:type="dxa"/>
            <w:vAlign w:val="center"/>
          </w:tcPr>
          <w:p w14:paraId="59A5642B">
            <w:pPr>
              <w:rPr>
                <w:sz w:val="21"/>
              </w:rPr>
            </w:pPr>
          </w:p>
          <w:p w14:paraId="351837A2">
            <w:pPr>
              <w:rPr>
                <w:sz w:val="21"/>
              </w:rPr>
            </w:pPr>
            <w:r>
              <w:rPr>
                <w:sz w:val="21"/>
              </w:rPr>
              <w:t>10.2</w:t>
            </w:r>
          </w:p>
        </w:tc>
        <w:tc>
          <w:tcPr>
            <w:tcW w:w="8289" w:type="dxa"/>
            <w:gridSpan w:val="2"/>
          </w:tcPr>
          <w:p w14:paraId="6A787C41">
            <w:pPr>
              <w:pStyle w:val="76"/>
              <w:spacing w:line="360" w:lineRule="auto"/>
              <w:ind w:left="4"/>
              <w:rPr>
                <w:sz w:val="21"/>
                <w:szCs w:val="21"/>
              </w:rPr>
            </w:pPr>
            <w:r>
              <w:rPr>
                <w:rFonts w:hint="eastAsia"/>
                <w:spacing w:val="-2"/>
                <w:sz w:val="21"/>
                <w:szCs w:val="21"/>
              </w:rPr>
              <w:t>本项目招标代理服务费按照豫招协</w:t>
            </w:r>
            <w:r>
              <w:rPr>
                <w:spacing w:val="-2"/>
                <w:sz w:val="21"/>
                <w:szCs w:val="21"/>
              </w:rPr>
              <w:t>[2023]002 号《河南省招标代理服务收费指导意见》的规定计取，由成交人领取成交通知书时向采购代理机构支付。</w:t>
            </w:r>
          </w:p>
        </w:tc>
      </w:tr>
      <w:tr w14:paraId="313006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5" w:hRule="atLeast"/>
          <w:jc w:val="center"/>
        </w:trPr>
        <w:tc>
          <w:tcPr>
            <w:tcW w:w="782" w:type="dxa"/>
            <w:vAlign w:val="center"/>
          </w:tcPr>
          <w:p w14:paraId="5AD57490">
            <w:pPr>
              <w:rPr>
                <w:sz w:val="21"/>
              </w:rPr>
            </w:pPr>
            <w:r>
              <w:rPr>
                <w:sz w:val="21"/>
              </w:rPr>
              <w:t>10.3</w:t>
            </w:r>
          </w:p>
        </w:tc>
        <w:tc>
          <w:tcPr>
            <w:tcW w:w="8289" w:type="dxa"/>
            <w:gridSpan w:val="2"/>
          </w:tcPr>
          <w:p w14:paraId="5EC196B3">
            <w:pPr>
              <w:pStyle w:val="76"/>
              <w:spacing w:line="360" w:lineRule="auto"/>
              <w:ind w:left="4"/>
              <w:rPr>
                <w:b/>
                <w:sz w:val="21"/>
                <w:szCs w:val="21"/>
              </w:rPr>
            </w:pPr>
            <w:r>
              <w:rPr>
                <w:b/>
                <w:spacing w:val="-3"/>
                <w:sz w:val="21"/>
                <w:szCs w:val="21"/>
              </w:rPr>
              <w:t>供应商须独立制作、修改和上传响应文件，若因“响应文件制作机器码”与其他供应商一致，机器码一致的所有响应文件按无效文件处理，所造成的不良后果由供应商自行承担。</w:t>
            </w:r>
          </w:p>
        </w:tc>
      </w:tr>
      <w:tr w14:paraId="341FCD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5" w:hRule="atLeast"/>
          <w:jc w:val="center"/>
        </w:trPr>
        <w:tc>
          <w:tcPr>
            <w:tcW w:w="782" w:type="dxa"/>
            <w:vAlign w:val="center"/>
          </w:tcPr>
          <w:p w14:paraId="08436645">
            <w:pPr>
              <w:rPr>
                <w:sz w:val="21"/>
              </w:rPr>
            </w:pPr>
          </w:p>
          <w:p w14:paraId="59F4DF02">
            <w:pPr>
              <w:rPr>
                <w:sz w:val="21"/>
              </w:rPr>
            </w:pPr>
          </w:p>
          <w:p w14:paraId="77157615">
            <w:pPr>
              <w:rPr>
                <w:sz w:val="21"/>
              </w:rPr>
            </w:pPr>
          </w:p>
          <w:p w14:paraId="16CD1FD2">
            <w:pPr>
              <w:rPr>
                <w:sz w:val="21"/>
              </w:rPr>
            </w:pPr>
            <w:r>
              <w:rPr>
                <w:sz w:val="21"/>
              </w:rPr>
              <w:t>10.4</w:t>
            </w:r>
          </w:p>
        </w:tc>
        <w:tc>
          <w:tcPr>
            <w:tcW w:w="8289" w:type="dxa"/>
            <w:gridSpan w:val="2"/>
          </w:tcPr>
          <w:p w14:paraId="33B79FC9">
            <w:pPr>
              <w:pStyle w:val="76"/>
              <w:spacing w:before="1" w:line="364" w:lineRule="auto"/>
              <w:ind w:left="4" w:right="74"/>
              <w:rPr>
                <w:sz w:val="21"/>
                <w:szCs w:val="21"/>
              </w:rPr>
            </w:pPr>
            <w:r>
              <w:rPr>
                <w:spacing w:val="-2"/>
                <w:sz w:val="21"/>
                <w:szCs w:val="21"/>
              </w:rPr>
              <w:t>解释权：构成本磋商文件的各个组成文件应互为解释，互为说明；如有不明确或不一致，构成合同文件组成内容的，以合同文件约定内容为准，且以专用合同条款约定的合同文件优先顺序解释；除磋商文件中有特别规定外，仅适用于招标投标阶段的规定，按磋商公告、供应商须知前附表、评审办法、响应文件格式的编排顺序在后者为准解释；同一组成文件中就同一事项的规定或约定不一致的，以编排顺序在后者为准；同一组成文件不同版</w:t>
            </w:r>
            <w:r>
              <w:rPr>
                <w:spacing w:val="-3"/>
                <w:sz w:val="21"/>
                <w:szCs w:val="21"/>
              </w:rPr>
              <w:t>本之间有不一致的，以形成时间在后者为准。按本款前述规定仍不能形成结论的，由采购</w:t>
            </w:r>
            <w:r>
              <w:rPr>
                <w:spacing w:val="-4"/>
                <w:sz w:val="21"/>
                <w:szCs w:val="21"/>
              </w:rPr>
              <w:t>人负责解释。</w:t>
            </w:r>
          </w:p>
        </w:tc>
      </w:tr>
      <w:tr w14:paraId="18B8D4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5" w:hRule="atLeast"/>
          <w:jc w:val="center"/>
        </w:trPr>
        <w:tc>
          <w:tcPr>
            <w:tcW w:w="782" w:type="dxa"/>
            <w:vAlign w:val="center"/>
          </w:tcPr>
          <w:p w14:paraId="0C79B1F3">
            <w:pPr>
              <w:rPr>
                <w:sz w:val="21"/>
              </w:rPr>
            </w:pPr>
            <w:r>
              <w:rPr>
                <w:sz w:val="21"/>
              </w:rPr>
              <w:t>10.5</w:t>
            </w:r>
          </w:p>
        </w:tc>
        <w:tc>
          <w:tcPr>
            <w:tcW w:w="8289" w:type="dxa"/>
            <w:gridSpan w:val="2"/>
          </w:tcPr>
          <w:p w14:paraId="7F5688E2">
            <w:pPr>
              <w:pStyle w:val="76"/>
              <w:spacing w:before="1" w:line="360" w:lineRule="auto"/>
              <w:ind w:left="4"/>
              <w:rPr>
                <w:sz w:val="21"/>
                <w:szCs w:val="21"/>
              </w:rPr>
            </w:pPr>
            <w:r>
              <w:rPr>
                <w:spacing w:val="-3"/>
                <w:sz w:val="21"/>
                <w:szCs w:val="21"/>
              </w:rPr>
              <w:t>供应商提供的补充资料均需在评审工作当日评审会结束前提供，供应商在评审会结束后递交的任何补充、澄清、说明、证明、承诺等资料均不再给予认定，供应商自行承担未能按时提供上述资料造成的后果。</w:t>
            </w:r>
          </w:p>
        </w:tc>
      </w:tr>
      <w:tr w14:paraId="1B04E1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5" w:hRule="atLeast"/>
          <w:jc w:val="center"/>
        </w:trPr>
        <w:tc>
          <w:tcPr>
            <w:tcW w:w="782" w:type="dxa"/>
            <w:vAlign w:val="center"/>
          </w:tcPr>
          <w:p w14:paraId="03D8AA9C">
            <w:pPr>
              <w:pStyle w:val="76"/>
              <w:spacing w:before="22"/>
              <w:rPr>
                <w:b/>
                <w:sz w:val="21"/>
                <w:szCs w:val="21"/>
              </w:rPr>
            </w:pPr>
          </w:p>
          <w:p w14:paraId="4466C2DB">
            <w:pPr>
              <w:pStyle w:val="76"/>
              <w:spacing w:before="1"/>
              <w:ind w:left="10"/>
              <w:jc w:val="center"/>
              <w:rPr>
                <w:sz w:val="21"/>
                <w:szCs w:val="21"/>
              </w:rPr>
            </w:pPr>
            <w:r>
              <w:rPr>
                <w:spacing w:val="-4"/>
                <w:sz w:val="21"/>
                <w:szCs w:val="21"/>
              </w:rPr>
              <w:t>10.6</w:t>
            </w:r>
          </w:p>
        </w:tc>
        <w:tc>
          <w:tcPr>
            <w:tcW w:w="8289" w:type="dxa"/>
            <w:gridSpan w:val="2"/>
          </w:tcPr>
          <w:p w14:paraId="26867B1E">
            <w:pPr>
              <w:pStyle w:val="76"/>
              <w:spacing w:before="1" w:line="364" w:lineRule="auto"/>
              <w:ind w:left="4" w:right="73"/>
              <w:rPr>
                <w:sz w:val="21"/>
                <w:szCs w:val="21"/>
              </w:rPr>
            </w:pPr>
            <w:r>
              <w:rPr>
                <w:spacing w:val="-2"/>
                <w:sz w:val="21"/>
                <w:szCs w:val="21"/>
              </w:rPr>
              <w:t>本项目所有澄清、补遗、补充通知均在河南省公共资源交易中心系统中发布，请各供应商注意查看下载。</w:t>
            </w:r>
          </w:p>
          <w:p w14:paraId="7CFF6912">
            <w:pPr>
              <w:pStyle w:val="76"/>
              <w:spacing w:line="267" w:lineRule="exact"/>
              <w:ind w:left="4"/>
              <w:rPr>
                <w:sz w:val="21"/>
                <w:szCs w:val="21"/>
              </w:rPr>
            </w:pPr>
            <w:r>
              <w:rPr>
                <w:spacing w:val="-3"/>
                <w:sz w:val="21"/>
                <w:szCs w:val="21"/>
              </w:rPr>
              <w:t>成交结果公告：竞争性磋商结果将在竞争性磋商公告发布的同一媒介发布。</w:t>
            </w:r>
          </w:p>
        </w:tc>
      </w:tr>
      <w:tr w14:paraId="2ACBDB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5" w:hRule="atLeast"/>
          <w:jc w:val="center"/>
        </w:trPr>
        <w:tc>
          <w:tcPr>
            <w:tcW w:w="782" w:type="dxa"/>
          </w:tcPr>
          <w:p w14:paraId="21AD46E8">
            <w:pPr>
              <w:pStyle w:val="76"/>
              <w:rPr>
                <w:b/>
                <w:sz w:val="21"/>
                <w:szCs w:val="21"/>
              </w:rPr>
            </w:pPr>
          </w:p>
          <w:p w14:paraId="16F1840B">
            <w:pPr>
              <w:pStyle w:val="76"/>
              <w:rPr>
                <w:b/>
                <w:sz w:val="21"/>
                <w:szCs w:val="21"/>
              </w:rPr>
            </w:pPr>
          </w:p>
          <w:p w14:paraId="366517AF">
            <w:pPr>
              <w:pStyle w:val="76"/>
              <w:rPr>
                <w:b/>
                <w:sz w:val="21"/>
                <w:szCs w:val="21"/>
              </w:rPr>
            </w:pPr>
          </w:p>
          <w:p w14:paraId="6168BA37">
            <w:pPr>
              <w:pStyle w:val="76"/>
              <w:rPr>
                <w:b/>
                <w:sz w:val="21"/>
                <w:szCs w:val="21"/>
              </w:rPr>
            </w:pPr>
          </w:p>
          <w:p w14:paraId="4CA0461E">
            <w:pPr>
              <w:pStyle w:val="76"/>
              <w:rPr>
                <w:b/>
                <w:sz w:val="21"/>
                <w:szCs w:val="21"/>
              </w:rPr>
            </w:pPr>
          </w:p>
          <w:p w14:paraId="7B359410">
            <w:pPr>
              <w:pStyle w:val="76"/>
              <w:rPr>
                <w:b/>
                <w:sz w:val="21"/>
                <w:szCs w:val="21"/>
              </w:rPr>
            </w:pPr>
          </w:p>
          <w:p w14:paraId="589E8B02">
            <w:pPr>
              <w:pStyle w:val="76"/>
              <w:rPr>
                <w:b/>
                <w:sz w:val="21"/>
                <w:szCs w:val="21"/>
              </w:rPr>
            </w:pPr>
          </w:p>
          <w:p w14:paraId="66B30A6E">
            <w:pPr>
              <w:pStyle w:val="76"/>
              <w:rPr>
                <w:b/>
                <w:sz w:val="21"/>
                <w:szCs w:val="21"/>
              </w:rPr>
            </w:pPr>
          </w:p>
          <w:p w14:paraId="5CC9616C">
            <w:pPr>
              <w:pStyle w:val="76"/>
              <w:rPr>
                <w:b/>
                <w:sz w:val="21"/>
                <w:szCs w:val="21"/>
              </w:rPr>
            </w:pPr>
          </w:p>
          <w:p w14:paraId="677931D2">
            <w:pPr>
              <w:pStyle w:val="76"/>
              <w:rPr>
                <w:b/>
                <w:sz w:val="21"/>
                <w:szCs w:val="21"/>
              </w:rPr>
            </w:pPr>
          </w:p>
          <w:p w14:paraId="4E425BD9">
            <w:pPr>
              <w:pStyle w:val="76"/>
              <w:rPr>
                <w:b/>
                <w:sz w:val="21"/>
                <w:szCs w:val="21"/>
              </w:rPr>
            </w:pPr>
          </w:p>
          <w:p w14:paraId="1F4D356D">
            <w:pPr>
              <w:pStyle w:val="76"/>
              <w:rPr>
                <w:b/>
                <w:sz w:val="21"/>
                <w:szCs w:val="21"/>
              </w:rPr>
            </w:pPr>
          </w:p>
          <w:p w14:paraId="4C0080FA">
            <w:pPr>
              <w:pStyle w:val="76"/>
              <w:rPr>
                <w:b/>
                <w:sz w:val="21"/>
                <w:szCs w:val="21"/>
              </w:rPr>
            </w:pPr>
          </w:p>
          <w:p w14:paraId="3CEAEEC0">
            <w:pPr>
              <w:pStyle w:val="76"/>
              <w:spacing w:before="314"/>
              <w:rPr>
                <w:b/>
                <w:sz w:val="21"/>
                <w:szCs w:val="21"/>
              </w:rPr>
            </w:pPr>
          </w:p>
          <w:p w14:paraId="12AC0E27">
            <w:pPr>
              <w:pStyle w:val="76"/>
              <w:spacing w:before="1"/>
              <w:ind w:left="10"/>
              <w:jc w:val="center"/>
              <w:rPr>
                <w:sz w:val="21"/>
                <w:szCs w:val="21"/>
              </w:rPr>
            </w:pPr>
            <w:r>
              <w:rPr>
                <w:spacing w:val="-4"/>
                <w:sz w:val="21"/>
                <w:szCs w:val="21"/>
              </w:rPr>
              <w:t>10.7</w:t>
            </w:r>
          </w:p>
        </w:tc>
        <w:tc>
          <w:tcPr>
            <w:tcW w:w="8289" w:type="dxa"/>
            <w:gridSpan w:val="2"/>
          </w:tcPr>
          <w:p w14:paraId="10490BBF">
            <w:pPr>
              <w:spacing w:line="360" w:lineRule="auto"/>
              <w:rPr>
                <w:sz w:val="21"/>
                <w:szCs w:val="21"/>
              </w:rPr>
            </w:pPr>
            <w:r>
              <w:rPr>
                <w:sz w:val="21"/>
                <w:szCs w:val="21"/>
              </w:rPr>
              <w:t>政府采购政策执行：</w:t>
            </w:r>
          </w:p>
          <w:p w14:paraId="47B2761A">
            <w:pPr>
              <w:spacing w:line="360" w:lineRule="auto"/>
              <w:rPr>
                <w:sz w:val="21"/>
                <w:szCs w:val="21"/>
              </w:rPr>
            </w:pPr>
            <w:r>
              <w:rPr>
                <w:rFonts w:hint="eastAsia"/>
                <w:sz w:val="21"/>
                <w:szCs w:val="21"/>
              </w:rPr>
              <w:t>1</w:t>
            </w:r>
            <w:r>
              <w:rPr>
                <w:sz w:val="21"/>
                <w:szCs w:val="21"/>
              </w:rPr>
              <w:t>.监狱企业、残疾人福利性企业、小型和微型企业工程承建给予扣除标准：</w:t>
            </w:r>
          </w:p>
          <w:p w14:paraId="08D991B2">
            <w:pPr>
              <w:spacing w:line="360" w:lineRule="auto"/>
              <w:rPr>
                <w:sz w:val="21"/>
                <w:szCs w:val="21"/>
              </w:rPr>
            </w:pPr>
            <w:r>
              <w:rPr>
                <w:sz w:val="21"/>
                <w:szCs w:val="21"/>
              </w:rPr>
              <w:t>根据《政府采购促进中小企业发展管理办法》(财库〔2020〕46号)的规定，对于非专门面向中小企业的项目，对小型和微型工程承建价格给予价格扣除，用扣除后的报价参与评审。</w:t>
            </w:r>
          </w:p>
          <w:p w14:paraId="00DB9816">
            <w:pPr>
              <w:spacing w:line="360" w:lineRule="auto"/>
              <w:rPr>
                <w:b/>
                <w:sz w:val="21"/>
                <w:szCs w:val="21"/>
              </w:rPr>
            </w:pPr>
            <w:r>
              <w:rPr>
                <w:b/>
                <w:sz w:val="21"/>
                <w:szCs w:val="21"/>
              </w:rPr>
              <w:t>本项目专门面向中小企业采购，供应商应为中小微企业，以申请人提供的中小企业声明函为准，残疾人福利性单位、监狱企业视同小微型企业，根据财政部关于《政府采购促进中小企业发展管理办法》的政策规定及官方解答回复，专门面向中小企业采购的项目，不再执行价格评审优惠。</w:t>
            </w:r>
          </w:p>
          <w:p w14:paraId="28920B65">
            <w:pPr>
              <w:spacing w:line="360" w:lineRule="auto"/>
              <w:rPr>
                <w:sz w:val="21"/>
                <w:szCs w:val="21"/>
              </w:rPr>
            </w:pPr>
            <w:r>
              <w:rPr>
                <w:sz w:val="21"/>
                <w:szCs w:val="21"/>
              </w:rPr>
              <w:t>根据《财政部、司法部关于政府采购支持监狱企业发展有关问题的通知》(财库〔2014〕 68号)的规定，提供由省级以上监狱管理局、戒毒管理局（含新疆生产建设兵团）出具的属于监狱企业的证明文件的，监狱企业视同小型、微型企业。</w:t>
            </w:r>
          </w:p>
          <w:p w14:paraId="76FC1308">
            <w:pPr>
              <w:spacing w:line="360" w:lineRule="auto"/>
              <w:rPr>
                <w:sz w:val="21"/>
                <w:szCs w:val="21"/>
              </w:rPr>
            </w:pPr>
            <w:r>
              <w:rPr>
                <w:sz w:val="21"/>
                <w:szCs w:val="21"/>
              </w:rPr>
              <w:t>根据《财政部、民政部、中国残疾人联合会关于促进残疾人就业政府采购政策的通知》（财库〔2017〕141号）的规定，提供《残疾人福利性单位声明函》（见附件），并对声明的真实性负责。中标/成交供应商为残疾人福利性单位的，采购人应当随中标/成交结果同时公告其《残疾人福利性单位声明函》，接受社会监督。提供的《残疾人福利性单位声明函》与事实不符的，依照《中华人民共和国政府采购法》第七十七条第一款的规定追究法律责任。残疾人福利性单位属于小型、微型企业的，不重复享受政策。残疾人福利性单位视同小型、微型企业。</w:t>
            </w:r>
          </w:p>
          <w:p w14:paraId="6075B874">
            <w:pPr>
              <w:spacing w:line="360" w:lineRule="auto"/>
              <w:rPr>
                <w:sz w:val="21"/>
                <w:szCs w:val="21"/>
              </w:rPr>
            </w:pPr>
            <w:r>
              <w:rPr>
                <w:rFonts w:hint="eastAsia"/>
                <w:sz w:val="21"/>
                <w:szCs w:val="21"/>
              </w:rPr>
              <w:t>2</w:t>
            </w:r>
            <w:r>
              <w:rPr>
                <w:sz w:val="21"/>
                <w:szCs w:val="21"/>
              </w:rPr>
              <w:t>.国家相关部委针对节能产品、环境标志产品出台了相关调整优化政府采购执行机制，并于近期相继颁布《财政部发展改革委 生态环境部 市场监管总局 关于调整优化节能产品、环境标志产品政府采购执行机制的通知》（财库〔2019〕9 号）、《市场监管总局关于发布参与实施政府采购节能产品、环境标志产品认证机构名录的公告》（市场监管总局 2019 年 4 月 3 日下发）（以下简称“机构名录”）、《关于印发节能产品政府采购品目清单的通知》（财库〔2019〕19 号）（以下简称“节能清单”）、《关于印发环境标志产品政府采购品目清单的通知》（财库〔2019〕18 号）（以下简称“环保清单”）。根据要求，投标产品有中属于“节能清单”中标记“★”产品的，必须提供经过“机构名录”中的认证机构出具的“节能产品认证证书及相关附件”，未提供的按无效投标处理。对于投标产品属于“节能清单”中非标记“★”产品的以及属于“环保清单”产品并经“机构名录”中的认证机构出具相应的产品认证证书的给予优先采购体现。采购人采购产品属于节能产品或环境标志产品品目清单范围内，且供应商（投标人）所投产品具有有效期内的产品认证证书，在评审时予以优先采购。</w:t>
            </w:r>
          </w:p>
          <w:p w14:paraId="59398080">
            <w:pPr>
              <w:spacing w:line="360" w:lineRule="auto"/>
              <w:rPr>
                <w:sz w:val="21"/>
                <w:szCs w:val="21"/>
              </w:rPr>
            </w:pPr>
            <w:r>
              <w:rPr>
                <w:rFonts w:hint="eastAsia"/>
                <w:sz w:val="21"/>
                <w:szCs w:val="21"/>
              </w:rPr>
              <w:t>3</w:t>
            </w:r>
            <w:r>
              <w:rPr>
                <w:sz w:val="21"/>
                <w:szCs w:val="21"/>
              </w:rPr>
              <w:t>.根据《政府采购进口产品管理办法》（财库[2007]119 号）规定，政府采购应当采购本国产品，不允许采购进口产品，确需采购进口产品的，实行审核管理。本办法所称进口产品是指通过中国海关报关验放进入中国境内且产自关境外的产品。根据《财政部办公厅关于政府采购进口产品管理有关问题的通知》（财办库[2008]248 号）规定，凡在海关特殊监管区域内企业生产或加工（包括从境外进口料件）销往境内其他地区的产品，不作为政府采购项下进口产品。对从境外进入海关特殊监管区域，再经办理报关手续后从海关特殊监管区进入境内其他地区的产品，应当设定为进口产品。</w:t>
            </w:r>
          </w:p>
          <w:p w14:paraId="4BFEEF94">
            <w:pPr>
              <w:spacing w:line="360" w:lineRule="auto"/>
              <w:rPr>
                <w:sz w:val="21"/>
                <w:szCs w:val="21"/>
              </w:rPr>
            </w:pPr>
            <w:r>
              <w:rPr>
                <w:sz w:val="21"/>
                <w:szCs w:val="21"/>
              </w:rPr>
              <w:t>其它未尽事宜，按国家有关法律、法规执行。</w:t>
            </w:r>
          </w:p>
        </w:tc>
      </w:tr>
      <w:tr w14:paraId="1D622B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5" w:hRule="atLeast"/>
          <w:jc w:val="center"/>
        </w:trPr>
        <w:tc>
          <w:tcPr>
            <w:tcW w:w="9071" w:type="dxa"/>
            <w:gridSpan w:val="3"/>
            <w:vAlign w:val="center"/>
          </w:tcPr>
          <w:p w14:paraId="357369DC">
            <w:pPr>
              <w:pStyle w:val="76"/>
              <w:spacing w:before="1"/>
              <w:ind w:left="7"/>
              <w:rPr>
                <w:spacing w:val="-2"/>
                <w:sz w:val="21"/>
                <w:szCs w:val="21"/>
              </w:rPr>
            </w:pPr>
            <w:r>
              <w:rPr>
                <w:spacing w:val="-2"/>
                <w:sz w:val="21"/>
                <w:szCs w:val="21"/>
              </w:rPr>
              <w:t>1.构成竞争性磋商文件的其他材料：除竞争性磋商文件外，采购人在采购期间发出的澄清、修改、补充、补遗和其他有效正式函件等内容均是竞争性磋商文件的组成部分。</w:t>
            </w:r>
          </w:p>
          <w:p w14:paraId="7DD6BF54">
            <w:pPr>
              <w:pStyle w:val="76"/>
              <w:spacing w:before="1"/>
              <w:ind w:left="7"/>
              <w:rPr>
                <w:spacing w:val="-2"/>
                <w:sz w:val="21"/>
                <w:szCs w:val="21"/>
              </w:rPr>
            </w:pPr>
            <w:r>
              <w:rPr>
                <w:spacing w:val="-2"/>
                <w:sz w:val="21"/>
                <w:szCs w:val="21"/>
              </w:rPr>
              <w:t>2.成交方式：评审结果确定后，如第一名成交候选供应商放弃成交资格或无法履行采购内容，采购人可向相关监督部门请示批准后，决定重新采购或另行确定成交供应商。</w:t>
            </w:r>
          </w:p>
          <w:p w14:paraId="029CFB75">
            <w:pPr>
              <w:pStyle w:val="76"/>
              <w:spacing w:before="1"/>
              <w:ind w:left="7"/>
              <w:rPr>
                <w:spacing w:val="-2"/>
                <w:sz w:val="21"/>
                <w:szCs w:val="21"/>
              </w:rPr>
            </w:pPr>
            <w:r>
              <w:rPr>
                <w:spacing w:val="-2"/>
                <w:sz w:val="21"/>
                <w:szCs w:val="21"/>
              </w:rPr>
              <w:t>3.磋商时对供应商的要求：本项目采用“远程不见面”磋商方式，远程磋商大厅网址为 http://hnsggzyjy.henan.gov.cn/，供应商无需到河南省公共资源交易中心现场参加磋商会议，供应商应当在响应文件提交的截止时间前，登录远程磋商大厅，在线准时参加磋商活动并进行文件解密、答疑澄清、最终报价等（请各位供应商注意，系统中给各位供应商的解密时间为30分钟）。</w:t>
            </w:r>
          </w:p>
          <w:p w14:paraId="0B0AF480">
            <w:pPr>
              <w:pStyle w:val="76"/>
              <w:spacing w:before="1"/>
              <w:ind w:left="7"/>
              <w:rPr>
                <w:spacing w:val="-2"/>
                <w:sz w:val="21"/>
                <w:szCs w:val="21"/>
              </w:rPr>
            </w:pPr>
            <w:r>
              <w:rPr>
                <w:spacing w:val="-2"/>
                <w:sz w:val="21"/>
                <w:szCs w:val="21"/>
              </w:rPr>
              <w:t>4.其它未尽事宜，按国家有关法律、法规执行。竞争性磋商文件的最终解释权归采购人。</w:t>
            </w:r>
          </w:p>
        </w:tc>
      </w:tr>
    </w:tbl>
    <w:p w14:paraId="3779C4A1">
      <w:pPr>
        <w:sectPr>
          <w:type w:val="continuous"/>
          <w:pgSz w:w="11920" w:h="16850"/>
          <w:pgMar w:top="1460" w:right="992" w:bottom="1100" w:left="1133" w:header="0" w:footer="913" w:gutter="0"/>
          <w:cols w:space="720" w:num="1"/>
        </w:sectPr>
      </w:pPr>
    </w:p>
    <w:p w14:paraId="40F1FC60">
      <w:pPr>
        <w:pStyle w:val="76"/>
        <w:rPr>
          <w:sz w:val="21"/>
        </w:rPr>
        <w:sectPr>
          <w:type w:val="continuous"/>
          <w:pgSz w:w="11920" w:h="16850"/>
          <w:pgMar w:top="1460" w:right="992" w:bottom="1100" w:left="1133" w:header="0" w:footer="913" w:gutter="0"/>
          <w:cols w:space="720" w:num="1"/>
        </w:sectPr>
      </w:pPr>
    </w:p>
    <w:p w14:paraId="772FD8B6">
      <w:pPr>
        <w:pStyle w:val="76"/>
        <w:spacing w:line="267" w:lineRule="exact"/>
        <w:rPr>
          <w:sz w:val="21"/>
        </w:rPr>
        <w:sectPr>
          <w:type w:val="continuous"/>
          <w:pgSz w:w="11920" w:h="16850"/>
          <w:pgMar w:top="1460" w:right="992" w:bottom="1100" w:left="1133" w:header="0" w:footer="913" w:gutter="0"/>
          <w:cols w:space="720" w:num="1"/>
        </w:sectPr>
      </w:pPr>
    </w:p>
    <w:p w14:paraId="269393B4">
      <w:pPr>
        <w:pStyle w:val="76"/>
        <w:rPr>
          <w:sz w:val="21"/>
        </w:rPr>
        <w:sectPr>
          <w:type w:val="continuous"/>
          <w:pgSz w:w="11920" w:h="16850"/>
          <w:pgMar w:top="1460" w:right="992" w:bottom="1100" w:left="1133" w:header="0" w:footer="913" w:gutter="0"/>
          <w:cols w:space="720" w:num="1"/>
        </w:sectPr>
      </w:pPr>
    </w:p>
    <w:p w14:paraId="171E0119">
      <w:pPr>
        <w:pStyle w:val="8"/>
        <w:spacing w:line="386" w:lineRule="exact"/>
        <w:ind w:left="0" w:right="86"/>
        <w:jc w:val="center"/>
        <w:rPr>
          <w:rFonts w:ascii="宋体" w:hAnsi="宋体" w:eastAsia="宋体"/>
        </w:rPr>
      </w:pPr>
      <w:r>
        <w:rPr>
          <w:rFonts w:ascii="宋体" w:hAnsi="宋体" w:eastAsia="宋体"/>
          <w:spacing w:val="-1"/>
        </w:rPr>
        <w:t>河南省政府采购合同融资政策告知函</w:t>
      </w:r>
    </w:p>
    <w:p w14:paraId="207C7683">
      <w:pPr>
        <w:pStyle w:val="9"/>
        <w:spacing w:before="95"/>
        <w:rPr>
          <w:sz w:val="21"/>
          <w:szCs w:val="21"/>
        </w:rPr>
      </w:pPr>
      <w:r>
        <w:rPr>
          <w:spacing w:val="-4"/>
          <w:sz w:val="21"/>
          <w:szCs w:val="21"/>
        </w:rPr>
        <w:t>各供应商：</w:t>
      </w:r>
    </w:p>
    <w:p w14:paraId="419C5E50">
      <w:pPr>
        <w:pStyle w:val="9"/>
        <w:spacing w:before="148"/>
        <w:ind w:left="722"/>
        <w:rPr>
          <w:sz w:val="21"/>
          <w:szCs w:val="21"/>
        </w:rPr>
      </w:pPr>
      <w:r>
        <w:rPr>
          <w:spacing w:val="-3"/>
          <w:sz w:val="21"/>
          <w:szCs w:val="21"/>
        </w:rPr>
        <w:t>欢迎贵公司参与河南省政府采购活动！</w:t>
      </w:r>
    </w:p>
    <w:p w14:paraId="11BBEA17">
      <w:pPr>
        <w:pStyle w:val="9"/>
        <w:spacing w:before="145"/>
        <w:ind w:left="722"/>
        <w:rPr>
          <w:sz w:val="21"/>
          <w:szCs w:val="21"/>
        </w:rPr>
      </w:pPr>
      <w:r>
        <w:rPr>
          <w:spacing w:val="-3"/>
          <w:sz w:val="21"/>
          <w:szCs w:val="21"/>
        </w:rPr>
        <w:t>政府采购合同融资是河南省财政厅支持中小微企业发展，针对参与政府采购活动的供应商</w:t>
      </w:r>
    </w:p>
    <w:p w14:paraId="6FEA8508">
      <w:pPr>
        <w:pStyle w:val="9"/>
        <w:spacing w:before="146" w:line="364" w:lineRule="auto"/>
        <w:ind w:right="143"/>
        <w:rPr>
          <w:sz w:val="21"/>
          <w:szCs w:val="21"/>
        </w:rPr>
      </w:pPr>
      <w:r>
        <w:rPr>
          <w:spacing w:val="-2"/>
          <w:sz w:val="21"/>
          <w:szCs w:val="21"/>
        </w:rPr>
        <w:t>融资难、融资贵问题推出的一项融资政策。贵公司若成为本次政府采购项目的中标成交供应商，可持政府采购合同向金融机构申请贷款，无需抵押、担保，融资机构将根据《河南省政府采购</w:t>
      </w:r>
    </w:p>
    <w:p w14:paraId="45EE2340">
      <w:pPr>
        <w:pStyle w:val="9"/>
        <w:spacing w:line="364" w:lineRule="auto"/>
        <w:ind w:right="481"/>
        <w:rPr>
          <w:sz w:val="21"/>
          <w:szCs w:val="21"/>
        </w:rPr>
      </w:pPr>
      <w:r>
        <w:rPr>
          <w:spacing w:val="-2"/>
          <w:sz w:val="21"/>
          <w:szCs w:val="21"/>
        </w:rPr>
        <w:t>合同融资工作实施方案》（豫财购〔2017〕10号），按照双方自愿的原则提供便捷、优惠的贷</w:t>
      </w:r>
      <w:r>
        <w:rPr>
          <w:spacing w:val="-4"/>
          <w:sz w:val="21"/>
          <w:szCs w:val="21"/>
        </w:rPr>
        <w:t>款服务。</w:t>
      </w:r>
    </w:p>
    <w:p w14:paraId="596CB3C1">
      <w:pPr>
        <w:pStyle w:val="9"/>
        <w:spacing w:line="364" w:lineRule="auto"/>
        <w:ind w:right="145" w:firstLine="439"/>
        <w:rPr>
          <w:sz w:val="21"/>
          <w:szCs w:val="21"/>
        </w:rPr>
      </w:pPr>
      <w:r>
        <w:rPr>
          <w:spacing w:val="-2"/>
          <w:sz w:val="21"/>
          <w:szCs w:val="21"/>
        </w:rPr>
        <w:t>贷款渠道和提供贷款的金融机构，可在河南省政府采购网“河南省政府采购合同融资平台”查询联系。</w:t>
      </w:r>
    </w:p>
    <w:p w14:paraId="42AD63D5">
      <w:pPr>
        <w:pStyle w:val="9"/>
        <w:spacing w:line="364" w:lineRule="auto"/>
        <w:sectPr>
          <w:pgSz w:w="11920" w:h="16850"/>
          <w:pgMar w:top="1420" w:right="992" w:bottom="1100" w:left="1133" w:header="0" w:footer="913" w:gutter="0"/>
          <w:cols w:space="720" w:num="1"/>
        </w:sectPr>
      </w:pPr>
    </w:p>
    <w:p w14:paraId="26457CEC">
      <w:pPr>
        <w:pStyle w:val="7"/>
        <w:numPr>
          <w:ilvl w:val="0"/>
          <w:numId w:val="1"/>
        </w:numPr>
        <w:tabs>
          <w:tab w:val="left" w:pos="4970"/>
        </w:tabs>
        <w:ind w:left="4970" w:hanging="242"/>
        <w:jc w:val="left"/>
        <w:rPr>
          <w:rFonts w:ascii="宋体" w:hAnsi="宋体" w:eastAsia="宋体"/>
        </w:rPr>
      </w:pPr>
      <w:bookmarkStart w:id="6" w:name="1.总则"/>
      <w:bookmarkEnd w:id="6"/>
      <w:r>
        <w:rPr>
          <w:rFonts w:ascii="宋体" w:hAnsi="宋体" w:eastAsia="宋体"/>
          <w:spacing w:val="-5"/>
        </w:rPr>
        <w:t>总则</w:t>
      </w:r>
    </w:p>
    <w:p w14:paraId="0642BC88">
      <w:pPr>
        <w:spacing w:line="360" w:lineRule="auto"/>
        <w:ind w:firstLine="442" w:firstLineChars="200"/>
        <w:rPr>
          <w:b/>
        </w:rPr>
      </w:pPr>
      <w:r>
        <w:rPr>
          <w:rFonts w:hint="eastAsia"/>
          <w:b/>
        </w:rPr>
        <w:t>1</w:t>
      </w:r>
      <w:r>
        <w:rPr>
          <w:b/>
        </w:rPr>
        <w:t>.1项目概况</w:t>
      </w:r>
    </w:p>
    <w:p w14:paraId="362A5468">
      <w:pPr>
        <w:spacing w:line="360" w:lineRule="auto"/>
        <w:ind w:firstLine="440" w:firstLineChars="200"/>
      </w:pPr>
      <w:r>
        <w:rPr>
          <w:rFonts w:hint="eastAsia"/>
        </w:rPr>
        <w:t>1</w:t>
      </w:r>
      <w:r>
        <w:t>.1.1根据《中华人民共和国政府采购法》《中华人民共和国政府采购法实施条例》《政府采购竞争性磋商采购方式管理暂行办法》等有关法律、法规和规章的规定，本项目已具备磋商条件，现对本项目进行磋商。</w:t>
      </w:r>
    </w:p>
    <w:p w14:paraId="0FAD17FF">
      <w:pPr>
        <w:spacing w:line="360" w:lineRule="auto"/>
        <w:ind w:firstLine="440" w:firstLineChars="200"/>
      </w:pPr>
      <w:r>
        <w:rPr>
          <w:rFonts w:hint="eastAsia"/>
        </w:rPr>
        <w:t>1</w:t>
      </w:r>
      <w:r>
        <w:t>.1.2本项目采购人：见供应商须知前附表。</w:t>
      </w:r>
    </w:p>
    <w:p w14:paraId="274B4681">
      <w:pPr>
        <w:spacing w:line="360" w:lineRule="auto"/>
        <w:ind w:firstLine="440" w:firstLineChars="200"/>
      </w:pPr>
      <w:r>
        <w:t>1.1.3本项目采购代理机构：见供应商须知前附表。</w:t>
      </w:r>
    </w:p>
    <w:p w14:paraId="09364184">
      <w:pPr>
        <w:spacing w:line="360" w:lineRule="auto"/>
        <w:ind w:firstLine="440" w:firstLineChars="200"/>
      </w:pPr>
      <w:r>
        <w:rPr>
          <w:rFonts w:hint="eastAsia"/>
        </w:rPr>
        <w:t>1</w:t>
      </w:r>
      <w:r>
        <w:t>.1.4项目名称及项目所属行业：见供应商须知前附表。</w:t>
      </w:r>
    </w:p>
    <w:p w14:paraId="372ACF54">
      <w:pPr>
        <w:spacing w:line="360" w:lineRule="auto"/>
        <w:ind w:firstLine="440" w:firstLineChars="200"/>
      </w:pPr>
      <w:r>
        <w:rPr>
          <w:rFonts w:hint="eastAsia"/>
        </w:rPr>
        <w:t>1</w:t>
      </w:r>
      <w:r>
        <w:t>.1.5项目地点：见供应商须知前附表。</w:t>
      </w:r>
    </w:p>
    <w:p w14:paraId="63A3DF36">
      <w:pPr>
        <w:spacing w:line="360" w:lineRule="auto"/>
        <w:ind w:firstLine="442" w:firstLineChars="200"/>
        <w:rPr>
          <w:b/>
        </w:rPr>
      </w:pPr>
      <w:r>
        <w:rPr>
          <w:b/>
        </w:rPr>
        <w:t>1.2资金来源</w:t>
      </w:r>
    </w:p>
    <w:p w14:paraId="577B0C05">
      <w:pPr>
        <w:spacing w:line="360" w:lineRule="auto"/>
        <w:ind w:firstLine="440" w:firstLineChars="200"/>
      </w:pPr>
      <w:r>
        <w:rPr>
          <w:rFonts w:hint="eastAsia"/>
        </w:rPr>
        <w:t>1</w:t>
      </w:r>
      <w:r>
        <w:t>.2.1本采购项目的资金来源：见供应商须知前附表。</w:t>
      </w:r>
    </w:p>
    <w:p w14:paraId="3A621E6B">
      <w:pPr>
        <w:spacing w:line="360" w:lineRule="auto"/>
        <w:ind w:firstLine="440" w:firstLineChars="200"/>
      </w:pPr>
      <w:r>
        <w:rPr>
          <w:rFonts w:hint="eastAsia"/>
        </w:rPr>
        <w:t>1</w:t>
      </w:r>
      <w:r>
        <w:t>.2.2本项目预算金额（最高限价）：见供应商须知前附表。</w:t>
      </w:r>
    </w:p>
    <w:p w14:paraId="621CBBE1">
      <w:pPr>
        <w:spacing w:line="360" w:lineRule="auto"/>
        <w:ind w:firstLine="440" w:firstLineChars="200"/>
      </w:pPr>
      <w:r>
        <w:rPr>
          <w:rFonts w:hint="eastAsia"/>
        </w:rPr>
        <w:t>1</w:t>
      </w:r>
      <w:r>
        <w:t>.2.3供应商报价超过磋商文件规定的预算金额或分包最高限价的，其响应文件将被认定为无效响应。</w:t>
      </w:r>
    </w:p>
    <w:p w14:paraId="7F58BD1C">
      <w:pPr>
        <w:spacing w:line="360" w:lineRule="auto"/>
        <w:ind w:firstLine="442" w:firstLineChars="200"/>
        <w:rPr>
          <w:b/>
        </w:rPr>
      </w:pPr>
      <w:r>
        <w:rPr>
          <w:rFonts w:hint="eastAsia"/>
          <w:b/>
        </w:rPr>
        <w:t>1</w:t>
      </w:r>
      <w:r>
        <w:rPr>
          <w:b/>
        </w:rPr>
        <w:t>.3采购内容及分包情况、计划工期、质量</w:t>
      </w:r>
      <w:r>
        <w:rPr>
          <w:rFonts w:hint="eastAsia"/>
          <w:b/>
        </w:rPr>
        <w:t>标准</w:t>
      </w:r>
      <w:r>
        <w:rPr>
          <w:b/>
        </w:rPr>
        <w:t>及缺陷责任期（质量保证期）</w:t>
      </w:r>
    </w:p>
    <w:p w14:paraId="56345BF5">
      <w:pPr>
        <w:spacing w:line="360" w:lineRule="auto"/>
        <w:ind w:firstLine="440" w:firstLineChars="200"/>
      </w:pPr>
      <w:r>
        <w:rPr>
          <w:rFonts w:hint="eastAsia"/>
        </w:rPr>
        <w:t>1</w:t>
      </w:r>
      <w:r>
        <w:t>.3.1本次采购内容及分包情况：见供应商须知前附表。</w:t>
      </w:r>
    </w:p>
    <w:p w14:paraId="5DD7AEF1">
      <w:pPr>
        <w:spacing w:line="360" w:lineRule="auto"/>
        <w:ind w:firstLine="440" w:firstLineChars="200"/>
      </w:pPr>
      <w:r>
        <w:rPr>
          <w:rFonts w:hint="eastAsia"/>
        </w:rPr>
        <w:t>1</w:t>
      </w:r>
      <w:r>
        <w:t>.3.2本项目的计划工期：见供应商须知前附表。</w:t>
      </w:r>
    </w:p>
    <w:p w14:paraId="0D16FA83">
      <w:pPr>
        <w:spacing w:line="360" w:lineRule="auto"/>
        <w:ind w:firstLine="440" w:firstLineChars="200"/>
      </w:pPr>
      <w:r>
        <w:rPr>
          <w:rFonts w:hint="eastAsia"/>
        </w:rPr>
        <w:t>1</w:t>
      </w:r>
      <w:r>
        <w:t>.3.3本项目的质量</w:t>
      </w:r>
      <w:r>
        <w:rPr>
          <w:rFonts w:hint="eastAsia"/>
        </w:rPr>
        <w:t>标准</w:t>
      </w:r>
      <w:r>
        <w:t>：见供应商须知前附表。</w:t>
      </w:r>
    </w:p>
    <w:p w14:paraId="2E455DAD">
      <w:pPr>
        <w:spacing w:line="360" w:lineRule="auto"/>
        <w:ind w:firstLine="440" w:firstLineChars="200"/>
      </w:pPr>
      <w:r>
        <w:t>1.3.4本项目的质保期：见供应商须知前附表。</w:t>
      </w:r>
    </w:p>
    <w:p w14:paraId="4D769528">
      <w:pPr>
        <w:spacing w:line="360" w:lineRule="auto"/>
        <w:ind w:firstLine="442" w:firstLineChars="200"/>
        <w:rPr>
          <w:b/>
        </w:rPr>
      </w:pPr>
      <w:r>
        <w:rPr>
          <w:rFonts w:hint="eastAsia"/>
          <w:b/>
        </w:rPr>
        <w:t>1</w:t>
      </w:r>
      <w:r>
        <w:rPr>
          <w:b/>
        </w:rPr>
        <w:t>.4供应商资格要求</w:t>
      </w:r>
    </w:p>
    <w:p w14:paraId="3EF14E53">
      <w:pPr>
        <w:spacing w:line="360" w:lineRule="auto"/>
        <w:ind w:firstLine="440" w:firstLineChars="200"/>
      </w:pPr>
      <w:r>
        <w:rPr>
          <w:rFonts w:hint="eastAsia"/>
        </w:rPr>
        <w:t>1</w:t>
      </w:r>
      <w:r>
        <w:t>.4.1供应商资格要求：见供应商须知前附表。</w:t>
      </w:r>
    </w:p>
    <w:p w14:paraId="0C81420E">
      <w:pPr>
        <w:spacing w:line="360" w:lineRule="auto"/>
        <w:ind w:firstLine="442" w:firstLineChars="200"/>
        <w:rPr>
          <w:b/>
        </w:rPr>
      </w:pPr>
      <w:r>
        <w:rPr>
          <w:b/>
        </w:rPr>
        <w:t>1.5费用承担</w:t>
      </w:r>
    </w:p>
    <w:p w14:paraId="641CE84A">
      <w:pPr>
        <w:spacing w:line="360" w:lineRule="auto"/>
        <w:ind w:firstLine="440" w:firstLineChars="200"/>
      </w:pPr>
      <w:r>
        <w:t xml:space="preserve">供应商准备和参加磋商活动发生的费用自理。 </w:t>
      </w:r>
    </w:p>
    <w:p w14:paraId="24E9BE5B">
      <w:pPr>
        <w:spacing w:line="360" w:lineRule="auto"/>
        <w:ind w:firstLine="442" w:firstLineChars="200"/>
        <w:rPr>
          <w:b/>
        </w:rPr>
      </w:pPr>
      <w:r>
        <w:rPr>
          <w:b/>
        </w:rPr>
        <w:t>1.6保密</w:t>
      </w:r>
    </w:p>
    <w:p w14:paraId="5356B32A">
      <w:pPr>
        <w:spacing w:line="360" w:lineRule="auto"/>
        <w:ind w:firstLine="440" w:firstLineChars="200"/>
      </w:pPr>
      <w:r>
        <w:t>参与磋商活动的各方应对竞争性磋商文件和竞争性磋商响应文件中的商业和技术等秘密保密，违者应对由此造成的后果承担法律责任。</w:t>
      </w:r>
    </w:p>
    <w:p w14:paraId="746624CB">
      <w:pPr>
        <w:spacing w:line="360" w:lineRule="auto"/>
        <w:ind w:firstLine="440" w:firstLineChars="200"/>
      </w:pPr>
      <w:r>
        <w:t>采购人向供应商提供的有关项目的基本情况和相关数据，是采购人现有的能使供应商利用的资料。采购人对供应商由此而做出的推论、理解和结论概不负责。</w:t>
      </w:r>
    </w:p>
    <w:p w14:paraId="54CB796D">
      <w:pPr>
        <w:spacing w:line="360" w:lineRule="auto"/>
        <w:ind w:firstLine="442" w:firstLineChars="200"/>
        <w:rPr>
          <w:b/>
        </w:rPr>
      </w:pPr>
      <w:r>
        <w:rPr>
          <w:rFonts w:hint="eastAsia"/>
          <w:b/>
        </w:rPr>
        <w:t>1</w:t>
      </w:r>
      <w:r>
        <w:rPr>
          <w:b/>
        </w:rPr>
        <w:t>.7语言文字</w:t>
      </w:r>
    </w:p>
    <w:p w14:paraId="1E77307A">
      <w:pPr>
        <w:spacing w:line="360" w:lineRule="auto"/>
        <w:ind w:firstLine="442" w:firstLineChars="200"/>
        <w:rPr>
          <w:b/>
        </w:rPr>
      </w:pPr>
      <w:r>
        <w:rPr>
          <w:rFonts w:hint="eastAsia"/>
          <w:b/>
        </w:rPr>
        <w:t>1</w:t>
      </w:r>
      <w:r>
        <w:rPr>
          <w:b/>
        </w:rPr>
        <w:t>.8除专用术语外，与磋商活动有关的语言均使用中文。必要时专用术语应附有中文注释。</w:t>
      </w:r>
    </w:p>
    <w:p w14:paraId="7DCA17ED">
      <w:pPr>
        <w:spacing w:line="360" w:lineRule="auto"/>
        <w:ind w:firstLine="442" w:firstLineChars="200"/>
        <w:rPr>
          <w:b/>
        </w:rPr>
      </w:pPr>
      <w:r>
        <w:rPr>
          <w:rFonts w:hint="eastAsia"/>
          <w:b/>
        </w:rPr>
        <w:t>1</w:t>
      </w:r>
      <w:r>
        <w:rPr>
          <w:b/>
        </w:rPr>
        <w:t>.9计量单位</w:t>
      </w:r>
    </w:p>
    <w:p w14:paraId="35E4C563">
      <w:pPr>
        <w:spacing w:line="360" w:lineRule="auto"/>
        <w:ind w:firstLine="440" w:firstLineChars="200"/>
      </w:pPr>
      <w:r>
        <w:t xml:space="preserve">所有计量均采用中华人民共和国法定计量单位。 </w:t>
      </w:r>
    </w:p>
    <w:p w14:paraId="76696B08">
      <w:pPr>
        <w:spacing w:line="360" w:lineRule="auto"/>
        <w:ind w:firstLine="442" w:firstLineChars="200"/>
        <w:rPr>
          <w:b/>
        </w:rPr>
      </w:pPr>
      <w:r>
        <w:rPr>
          <w:b/>
        </w:rPr>
        <w:t>1.10踏勘现场</w:t>
      </w:r>
    </w:p>
    <w:p w14:paraId="672DBC3E">
      <w:pPr>
        <w:spacing w:line="360" w:lineRule="auto"/>
        <w:ind w:firstLine="440" w:firstLineChars="200"/>
      </w:pPr>
      <w:r>
        <w:t>详见供应商须知前附表。</w:t>
      </w:r>
    </w:p>
    <w:p w14:paraId="1D2D4A6E">
      <w:pPr>
        <w:spacing w:line="360" w:lineRule="auto"/>
        <w:ind w:firstLine="442" w:firstLineChars="200"/>
        <w:rPr>
          <w:b/>
        </w:rPr>
      </w:pPr>
      <w:r>
        <w:rPr>
          <w:b/>
        </w:rPr>
        <w:t>1.11分包</w:t>
      </w:r>
    </w:p>
    <w:p w14:paraId="1C58F424">
      <w:pPr>
        <w:spacing w:line="360" w:lineRule="auto"/>
        <w:ind w:firstLine="440" w:firstLineChars="200"/>
      </w:pPr>
      <w:r>
        <w:t xml:space="preserve">详见供应商须知前附表。 </w:t>
      </w:r>
    </w:p>
    <w:p w14:paraId="2274FB4D">
      <w:pPr>
        <w:spacing w:line="360" w:lineRule="auto"/>
        <w:ind w:firstLine="442" w:firstLineChars="200"/>
        <w:rPr>
          <w:b/>
        </w:rPr>
      </w:pPr>
      <w:r>
        <w:rPr>
          <w:b/>
        </w:rPr>
        <w:t>1.12偏离</w:t>
      </w:r>
    </w:p>
    <w:p w14:paraId="6FCE7D47">
      <w:pPr>
        <w:spacing w:line="360" w:lineRule="auto"/>
        <w:ind w:firstLine="440" w:firstLineChars="200"/>
      </w:pPr>
      <w:r>
        <w:t>供应商须知前附表允许响应文件偏离竞争性磋商文件某些要求的，偏离应当符合竞争性磋商文件规定的偏离范围和幅度。</w:t>
      </w:r>
    </w:p>
    <w:p w14:paraId="07F505D8">
      <w:pPr>
        <w:spacing w:line="360" w:lineRule="auto"/>
        <w:ind w:firstLine="482" w:firstLineChars="200"/>
        <w:jc w:val="center"/>
        <w:rPr>
          <w:b/>
          <w:sz w:val="24"/>
        </w:rPr>
      </w:pPr>
      <w:bookmarkStart w:id="7" w:name="2.磋商文件"/>
      <w:bookmarkEnd w:id="7"/>
      <w:r>
        <w:rPr>
          <w:rFonts w:hint="eastAsia"/>
          <w:b/>
          <w:sz w:val="24"/>
        </w:rPr>
        <w:t>2</w:t>
      </w:r>
      <w:r>
        <w:rPr>
          <w:b/>
          <w:sz w:val="24"/>
        </w:rPr>
        <w:t>.磋商文件</w:t>
      </w:r>
    </w:p>
    <w:p w14:paraId="3811E092">
      <w:pPr>
        <w:spacing w:line="360" w:lineRule="auto"/>
        <w:ind w:firstLine="442" w:firstLineChars="200"/>
        <w:rPr>
          <w:b/>
        </w:rPr>
      </w:pPr>
      <w:r>
        <w:rPr>
          <w:rFonts w:hint="eastAsia"/>
          <w:b/>
        </w:rPr>
        <w:t>2</w:t>
      </w:r>
      <w:r>
        <w:rPr>
          <w:b/>
        </w:rPr>
        <w:t>.1磋商文件构成</w:t>
      </w:r>
    </w:p>
    <w:p w14:paraId="770470C2">
      <w:pPr>
        <w:spacing w:line="360" w:lineRule="auto"/>
        <w:ind w:firstLine="440" w:firstLineChars="200"/>
      </w:pPr>
      <w:r>
        <w:t>磋商文件共</w:t>
      </w:r>
      <w:r>
        <w:rPr>
          <w:rFonts w:hint="eastAsia"/>
        </w:rPr>
        <w:t>七</w:t>
      </w:r>
      <w:r>
        <w:t>章，内容如下：</w:t>
      </w:r>
    </w:p>
    <w:p w14:paraId="77D6DCD0">
      <w:pPr>
        <w:spacing w:line="360" w:lineRule="auto"/>
        <w:ind w:firstLine="440" w:firstLineChars="200"/>
      </w:pPr>
      <w:r>
        <w:t>第一章 竞争性磋商公告</w:t>
      </w:r>
    </w:p>
    <w:p w14:paraId="2CADFECB">
      <w:pPr>
        <w:spacing w:line="360" w:lineRule="auto"/>
        <w:ind w:firstLine="440" w:firstLineChars="200"/>
      </w:pPr>
      <w:r>
        <w:t>第二章 供应商须知</w:t>
      </w:r>
    </w:p>
    <w:p w14:paraId="15BD66BD">
      <w:pPr>
        <w:spacing w:line="360" w:lineRule="auto"/>
        <w:ind w:firstLine="440" w:firstLineChars="200"/>
      </w:pPr>
      <w:r>
        <w:t>第三章 评审办法（综合评分法）</w:t>
      </w:r>
    </w:p>
    <w:p w14:paraId="7DF0DFC8">
      <w:pPr>
        <w:spacing w:line="360" w:lineRule="auto"/>
        <w:ind w:firstLine="440" w:firstLineChars="200"/>
      </w:pPr>
      <w:r>
        <w:t>第四章 合同条款及格式</w:t>
      </w:r>
    </w:p>
    <w:p w14:paraId="6E7877C6">
      <w:pPr>
        <w:spacing w:line="360" w:lineRule="auto"/>
        <w:ind w:firstLine="440" w:firstLineChars="200"/>
      </w:pPr>
      <w:r>
        <w:t>第五章 工程量清单及图纸</w:t>
      </w:r>
    </w:p>
    <w:p w14:paraId="581028B4">
      <w:pPr>
        <w:spacing w:line="360" w:lineRule="auto"/>
        <w:ind w:firstLine="440" w:firstLineChars="200"/>
      </w:pPr>
      <w:r>
        <w:t xml:space="preserve">第六章 技术标准和要求 </w:t>
      </w:r>
    </w:p>
    <w:p w14:paraId="4DB143E0">
      <w:pPr>
        <w:spacing w:line="360" w:lineRule="auto"/>
        <w:ind w:firstLine="440" w:firstLineChars="200"/>
      </w:pPr>
      <w:r>
        <w:t>第七章 响应文件格式</w:t>
      </w:r>
    </w:p>
    <w:p w14:paraId="3CCC2FC8">
      <w:pPr>
        <w:spacing w:line="360" w:lineRule="auto"/>
        <w:ind w:firstLine="440" w:firstLineChars="200"/>
      </w:pPr>
      <w:r>
        <w:t>供应商应认真阅读磋商文件所有的事项、格式、条款等。如供应商没有按照磋商文件要求提交资料，或者响应文件没有对磋商文件做出实质性响应，可能导致其响应文件被认定为无效响应。</w:t>
      </w:r>
    </w:p>
    <w:p w14:paraId="6B719C52">
      <w:pPr>
        <w:spacing w:line="360" w:lineRule="auto"/>
        <w:ind w:firstLine="442" w:firstLineChars="200"/>
        <w:rPr>
          <w:b/>
        </w:rPr>
      </w:pPr>
      <w:r>
        <w:rPr>
          <w:rFonts w:hint="eastAsia"/>
          <w:b/>
        </w:rPr>
        <w:t>2</w:t>
      </w:r>
      <w:r>
        <w:rPr>
          <w:b/>
        </w:rPr>
        <w:t>.2磋商文件的澄清与修改</w:t>
      </w:r>
    </w:p>
    <w:p w14:paraId="6A5DD918">
      <w:pPr>
        <w:spacing w:line="360" w:lineRule="auto"/>
        <w:ind w:firstLine="440" w:firstLineChars="200"/>
      </w:pPr>
      <w:r>
        <w:rPr>
          <w:rFonts w:hint="eastAsia"/>
        </w:rPr>
        <w:t>2</w:t>
      </w:r>
      <w:r>
        <w:t>.2.1供应商对竞争性磋商文件如有需要澄清或疑问，应及时在“河南省公共资源交易中心</w:t>
      </w:r>
    </w:p>
    <w:p w14:paraId="23A9C60D">
      <w:pPr>
        <w:spacing w:line="360" w:lineRule="auto"/>
      </w:pPr>
      <w:r>
        <w:t>（</w:t>
      </w:r>
      <w:r>
        <w:fldChar w:fldCharType="begin"/>
      </w:r>
      <w:r>
        <w:instrText xml:space="preserve"> HYPERLINK "http://hnsggzyjy.henan.gov.cn/" \h </w:instrText>
      </w:r>
      <w:r>
        <w:fldChar w:fldCharType="separate"/>
      </w:r>
      <w:r>
        <w:t>http://hnsggzyjy.henan.gov.cn/</w:t>
      </w:r>
      <w:r>
        <w:fldChar w:fldCharType="end"/>
      </w:r>
      <w:r>
        <w:t>）”电子交易平台进行提问，要求采购人对竞争性磋商文件予以澄清。供应商未对竞争性磋商文件澄清或提出疑问的，采购人和采购代理机构将视其为无异议，磋商响应文件递交截止时间后，采购人和采购代理机构不接受其对竞争性磋商文件内容的质疑。</w:t>
      </w:r>
    </w:p>
    <w:p w14:paraId="46F5013B">
      <w:pPr>
        <w:spacing w:line="360" w:lineRule="auto"/>
        <w:ind w:firstLine="440" w:firstLineChars="200"/>
      </w:pPr>
      <w:r>
        <w:rPr>
          <w:rFonts w:hint="eastAsia"/>
        </w:rPr>
        <w:t>2</w:t>
      </w:r>
      <w:r>
        <w:t>.2.2采购人、采购代理机构可以对已发出的磋商文件进行必要的澄清或者修改。澄清或者修改的内容可能影响响应文件编制的，应当在递交首次响应文件截止时间至少5日前，在“河南省公共资源交易中心（</w:t>
      </w:r>
      <w:r>
        <w:fldChar w:fldCharType="begin"/>
      </w:r>
      <w:r>
        <w:instrText xml:space="preserve"> HYPERLINK "http://hnsggzyjy.henan.gov.cn/" \h </w:instrText>
      </w:r>
      <w:r>
        <w:fldChar w:fldCharType="separate"/>
      </w:r>
      <w:r>
        <w:t>http://hnsggzyjy.henan.gov.cn/</w:t>
      </w:r>
      <w:r>
        <w:fldChar w:fldCharType="end"/>
      </w:r>
      <w:r>
        <w:t>）”电子交易平台公布给所有下载竞争性磋商文件的供应商，但不指明澄清问题的来源。如果澄清发出的时间距磋商响应文件递交截止日不足5日的，并且澄清内容影响磋商响应文件编制的，应当顺延首次递交响应文件截止时间及磋商开启时间。</w:t>
      </w:r>
    </w:p>
    <w:p w14:paraId="25F7D2C8">
      <w:pPr>
        <w:spacing w:line="360" w:lineRule="auto"/>
        <w:ind w:firstLine="440" w:firstLineChars="200"/>
      </w:pPr>
      <w:r>
        <w:rPr>
          <w:rFonts w:hint="eastAsia"/>
        </w:rPr>
        <w:t>2</w:t>
      </w:r>
      <w:r>
        <w:t>.2.3澄清或者修改的内容为磋商文件的组成部分，澄清内容一经在项目公告网站和电子交易平台发布，视作已送达所有供应商，对所有磋商文件的收受人具有约束力。</w:t>
      </w:r>
    </w:p>
    <w:p w14:paraId="0C6D3006">
      <w:pPr>
        <w:spacing w:line="360" w:lineRule="auto"/>
        <w:ind w:firstLine="440" w:firstLineChars="200"/>
      </w:pPr>
      <w:r>
        <w:t>2.2.4因河南省公共资源交易中心（</w:t>
      </w:r>
      <w:r>
        <w:fldChar w:fldCharType="begin"/>
      </w:r>
      <w:r>
        <w:instrText xml:space="preserve"> HYPERLINK "http://hnsggzyjy.henan.gov.cn/" \h </w:instrText>
      </w:r>
      <w:r>
        <w:fldChar w:fldCharType="separate"/>
      </w:r>
      <w:r>
        <w:t>http://hnsggzyjy.henan.gov.cn/</w:t>
      </w:r>
      <w:r>
        <w:fldChar w:fldCharType="end"/>
      </w:r>
      <w:r>
        <w:t>）电子交易平台在磋商响应文件递交截止时间前具有保密性，供应商在磋商响应文件递交截止时间前须自行查看项目进展、下载竞争性磋商文件的澄清或者修改等，因供应商未及时查看和下载而造成的后果自负。</w:t>
      </w:r>
    </w:p>
    <w:p w14:paraId="1904CDC6">
      <w:pPr>
        <w:spacing w:line="360" w:lineRule="auto"/>
        <w:ind w:firstLine="482" w:firstLineChars="200"/>
        <w:jc w:val="center"/>
        <w:rPr>
          <w:b/>
          <w:sz w:val="24"/>
        </w:rPr>
      </w:pPr>
      <w:bookmarkStart w:id="8" w:name="3.响应文件的编制"/>
      <w:bookmarkEnd w:id="8"/>
      <w:r>
        <w:rPr>
          <w:rFonts w:hint="eastAsia"/>
          <w:b/>
          <w:sz w:val="24"/>
        </w:rPr>
        <w:t>3</w:t>
      </w:r>
      <w:r>
        <w:rPr>
          <w:b/>
          <w:sz w:val="24"/>
        </w:rPr>
        <w:t>.响应文件的编制</w:t>
      </w:r>
    </w:p>
    <w:p w14:paraId="454D1F72">
      <w:pPr>
        <w:spacing w:line="360" w:lineRule="auto"/>
        <w:ind w:firstLine="442" w:firstLineChars="200"/>
        <w:rPr>
          <w:b/>
        </w:rPr>
      </w:pPr>
      <w:r>
        <w:rPr>
          <w:rFonts w:hint="eastAsia"/>
          <w:b/>
        </w:rPr>
        <w:t>3</w:t>
      </w:r>
      <w:r>
        <w:rPr>
          <w:b/>
        </w:rPr>
        <w:t>.1响应范围</w:t>
      </w:r>
    </w:p>
    <w:p w14:paraId="2F97EC1F">
      <w:pPr>
        <w:spacing w:line="360" w:lineRule="auto"/>
        <w:ind w:firstLine="440" w:firstLineChars="200"/>
      </w:pPr>
      <w:r>
        <w:rPr>
          <w:rFonts w:hint="eastAsia"/>
        </w:rPr>
        <w:t>3</w:t>
      </w:r>
      <w:r>
        <w:t>.1.1项目有分包的，供应商可对磋商文件其中某一个分包或几个分包进行响应。</w:t>
      </w:r>
    </w:p>
    <w:p w14:paraId="1E01F6D2">
      <w:pPr>
        <w:spacing w:line="360" w:lineRule="auto"/>
        <w:ind w:firstLine="440" w:firstLineChars="200"/>
      </w:pPr>
      <w:r>
        <w:t>3.1.2供应商应当对所响应分包磋商文件中工程量清单所列的所有内容进行响应，如仅响应分包中某一部分内容，其该包响应文件将被认定为无效响应。</w:t>
      </w:r>
    </w:p>
    <w:p w14:paraId="27008038">
      <w:pPr>
        <w:spacing w:line="360" w:lineRule="auto"/>
        <w:ind w:firstLine="442" w:firstLineChars="200"/>
        <w:rPr>
          <w:b/>
        </w:rPr>
      </w:pPr>
      <w:r>
        <w:rPr>
          <w:b/>
        </w:rPr>
        <w:t>3.2响应文件组成</w:t>
      </w:r>
    </w:p>
    <w:p w14:paraId="33970885">
      <w:pPr>
        <w:spacing w:line="360" w:lineRule="auto"/>
        <w:ind w:firstLine="440" w:firstLineChars="200"/>
      </w:pPr>
      <w:r>
        <w:rPr>
          <w:rFonts w:hint="eastAsia"/>
        </w:rPr>
        <w:t>3</w:t>
      </w:r>
      <w:r>
        <w:t>.2.1响应文件的组成：详见第七章响应文件格式。</w:t>
      </w:r>
    </w:p>
    <w:p w14:paraId="5D72B6FF">
      <w:pPr>
        <w:spacing w:line="360" w:lineRule="auto"/>
        <w:ind w:firstLine="440" w:firstLineChars="200"/>
      </w:pPr>
      <w:r>
        <w:t>3.2.2供应商应按磋商文件提供的格式编写响应文件。磋商文件提供标准格式的按标准格式填列，未提供标准格式的可自行拟定。</w:t>
      </w:r>
    </w:p>
    <w:p w14:paraId="75463711">
      <w:pPr>
        <w:spacing w:line="360" w:lineRule="auto"/>
        <w:ind w:firstLine="442" w:firstLineChars="200"/>
        <w:rPr>
          <w:b/>
        </w:rPr>
      </w:pPr>
      <w:r>
        <w:rPr>
          <w:rFonts w:hint="eastAsia"/>
          <w:b/>
        </w:rPr>
        <w:t>3</w:t>
      </w:r>
      <w:r>
        <w:rPr>
          <w:b/>
        </w:rPr>
        <w:t>.3响应报价</w:t>
      </w:r>
    </w:p>
    <w:p w14:paraId="573E34A9">
      <w:pPr>
        <w:spacing w:line="360" w:lineRule="auto"/>
        <w:ind w:firstLine="440" w:firstLineChars="200"/>
      </w:pPr>
      <w:r>
        <w:rPr>
          <w:rFonts w:hint="eastAsia"/>
        </w:rPr>
        <w:t>3</w:t>
      </w:r>
      <w:r>
        <w:t>.3.1供应商应按“响应文件格式”的要求在报价函中进行报价并填写已标价工程量清单。</w:t>
      </w:r>
    </w:p>
    <w:p w14:paraId="41C22348">
      <w:pPr>
        <w:spacing w:line="360" w:lineRule="auto"/>
        <w:ind w:firstLine="440" w:firstLineChars="200"/>
      </w:pPr>
      <w:r>
        <w:rPr>
          <w:rFonts w:hint="eastAsia"/>
        </w:rPr>
        <w:t>3</w:t>
      </w:r>
      <w:r>
        <w:t>.3.2供应商应充分了解该项目的总体情况以及影响磋商报价的其他要素。</w:t>
      </w:r>
    </w:p>
    <w:p w14:paraId="49269516">
      <w:pPr>
        <w:spacing w:line="360" w:lineRule="auto"/>
        <w:ind w:firstLine="440" w:firstLineChars="200"/>
      </w:pPr>
      <w:r>
        <w:t>3.3.3供应商在首次响应文件提交截止时间前修改报价函中的磋商报价总额，应同时修改响应文件“已标价工程量清单”中的相应报价。</w:t>
      </w:r>
    </w:p>
    <w:p w14:paraId="4388D2B6">
      <w:pPr>
        <w:spacing w:line="360" w:lineRule="auto"/>
        <w:ind w:firstLine="440" w:firstLineChars="200"/>
      </w:pPr>
      <w:r>
        <w:t>3.3.4采购人设有最高限价（采购预算金额）的，供应商的磋商报价不得超过最高限价（采购预算金额）。</w:t>
      </w:r>
    </w:p>
    <w:p w14:paraId="554A9341">
      <w:pPr>
        <w:spacing w:line="360" w:lineRule="auto"/>
        <w:ind w:firstLine="440" w:firstLineChars="200"/>
      </w:pPr>
      <w:r>
        <w:t>3.3.5 本项目涉及工程量清单中的单价按照最后磋商报价和首次磋商报价的优惠比率进行调整。</w:t>
      </w:r>
    </w:p>
    <w:p w14:paraId="10F6BBAB">
      <w:pPr>
        <w:spacing w:line="360" w:lineRule="auto"/>
        <w:ind w:firstLine="442" w:firstLineChars="200"/>
        <w:rPr>
          <w:b/>
        </w:rPr>
      </w:pPr>
      <w:r>
        <w:rPr>
          <w:b/>
        </w:rPr>
        <w:t>3.4磋商有效期</w:t>
      </w:r>
    </w:p>
    <w:p w14:paraId="1776E6BC">
      <w:pPr>
        <w:spacing w:line="360" w:lineRule="auto"/>
        <w:ind w:firstLine="440" w:firstLineChars="200"/>
      </w:pPr>
      <w:r>
        <w:rPr>
          <w:rFonts w:hint="eastAsia"/>
        </w:rPr>
        <w:t>3</w:t>
      </w:r>
      <w:r>
        <w:t>.4.1响应在供应商须知前附表3.4.1条中规定的磋商有效期内保持有效。磋商有效期不满足要求的响应，其响应文件将被认定为无效响应。</w:t>
      </w:r>
    </w:p>
    <w:p w14:paraId="1761197C">
      <w:pPr>
        <w:spacing w:line="360" w:lineRule="auto"/>
        <w:ind w:firstLine="440" w:firstLineChars="200"/>
      </w:pPr>
      <w:r>
        <w:rPr>
          <w:rFonts w:hint="eastAsia"/>
        </w:rPr>
        <w:t>3</w:t>
      </w:r>
      <w:r>
        <w:t>.4.2在特殊情况下，采购人或采购代理机构可根据实际情况，在原磋商有效期截止之前，要求供应商延长响应的有效期。接受该要求的供应商将不会被要求和允许修正其响应文件，供应商可以拒绝延长磋商有效期的要求，其磋商失效。上述要求和答复都应以书面形式提交。</w:t>
      </w:r>
    </w:p>
    <w:p w14:paraId="040886BC">
      <w:pPr>
        <w:spacing w:line="360" w:lineRule="auto"/>
        <w:ind w:firstLine="442" w:firstLineChars="200"/>
        <w:rPr>
          <w:b/>
        </w:rPr>
      </w:pPr>
      <w:r>
        <w:rPr>
          <w:rFonts w:hint="eastAsia"/>
          <w:b/>
        </w:rPr>
        <w:t>3</w:t>
      </w:r>
      <w:r>
        <w:rPr>
          <w:b/>
        </w:rPr>
        <w:t>.5磋商保证金</w:t>
      </w:r>
    </w:p>
    <w:p w14:paraId="1C98390C">
      <w:pPr>
        <w:spacing w:line="360" w:lineRule="auto"/>
        <w:ind w:firstLine="440" w:firstLineChars="200"/>
      </w:pPr>
      <w:r>
        <w:t>按照河南省财政厅豫财购〔2019〕4号规定，本项目不再向供应商收取保证金。</w:t>
      </w:r>
    </w:p>
    <w:p w14:paraId="4B22A768">
      <w:pPr>
        <w:spacing w:line="360" w:lineRule="auto"/>
        <w:ind w:firstLine="442" w:firstLineChars="200"/>
        <w:rPr>
          <w:b/>
        </w:rPr>
      </w:pPr>
      <w:r>
        <w:rPr>
          <w:rFonts w:hint="eastAsia"/>
          <w:b/>
        </w:rPr>
        <w:t>3</w:t>
      </w:r>
      <w:r>
        <w:rPr>
          <w:b/>
        </w:rPr>
        <w:t>.6备选磋商方案</w:t>
      </w:r>
    </w:p>
    <w:p w14:paraId="5E419BBF">
      <w:pPr>
        <w:spacing w:line="360" w:lineRule="auto"/>
        <w:ind w:firstLine="440" w:firstLineChars="200"/>
      </w:pPr>
      <w:r>
        <w:t>除供应商须知前附表另有规定外，供应商不得递交备选磋商方案。</w:t>
      </w:r>
    </w:p>
    <w:p w14:paraId="39198D5C">
      <w:pPr>
        <w:spacing w:line="360" w:lineRule="auto"/>
        <w:ind w:firstLine="442" w:firstLineChars="200"/>
        <w:rPr>
          <w:b/>
        </w:rPr>
      </w:pPr>
      <w:r>
        <w:rPr>
          <w:b/>
        </w:rPr>
        <w:t xml:space="preserve"> 3.7竞争性磋商响应文件的编制</w:t>
      </w:r>
    </w:p>
    <w:p w14:paraId="5F87F7B1">
      <w:pPr>
        <w:spacing w:line="360" w:lineRule="auto"/>
        <w:ind w:firstLine="440" w:firstLineChars="200"/>
      </w:pPr>
      <w:r>
        <w:rPr>
          <w:rFonts w:hint="eastAsia"/>
        </w:rPr>
        <w:t>3</w:t>
      </w:r>
      <w:r>
        <w:t>.7.1竞争性磋商响应文件应按“响应文件格式”进行编写，如有必要，可以增加附页，作为竞争性磋商响应文件的组成部分。其中，竞争性磋商响应文件在满足竞争性磋商文件实质性要求的基础上，可以在竞争性磋商响应文件内容汇总中提出比竞争性磋商文件要求更有利于采购人的承诺。</w:t>
      </w:r>
    </w:p>
    <w:p w14:paraId="216579A3">
      <w:pPr>
        <w:spacing w:line="360" w:lineRule="auto"/>
        <w:ind w:firstLine="440" w:firstLineChars="200"/>
      </w:pPr>
      <w:r>
        <w:rPr>
          <w:rFonts w:hint="eastAsia"/>
        </w:rPr>
        <w:t>3</w:t>
      </w:r>
      <w:r>
        <w:t>.7.2响应文件应当对磋商文件有关工期、磋商有效期、质量</w:t>
      </w:r>
      <w:r>
        <w:rPr>
          <w:rFonts w:hint="eastAsia"/>
        </w:rPr>
        <w:t>标准</w:t>
      </w:r>
      <w:r>
        <w:t>、质保期等实质性内容作出响应。</w:t>
      </w:r>
    </w:p>
    <w:p w14:paraId="5C1E43C5">
      <w:pPr>
        <w:spacing w:line="360" w:lineRule="auto"/>
        <w:ind w:firstLine="440" w:firstLineChars="200"/>
      </w:pPr>
      <w:r>
        <w:t>3.7.3竞争性磋商响应文件由供应商的法定代表人或其委托代理人签字或盖单位章。委托代理人签字的，竞争性磋商响应文件应附法定代表人签署的授权委托书。签字或盖章的具体要求见供应商须知前附表。</w:t>
      </w:r>
    </w:p>
    <w:p w14:paraId="369A9EE9">
      <w:pPr>
        <w:spacing w:line="360" w:lineRule="auto"/>
        <w:ind w:firstLine="482" w:firstLineChars="200"/>
        <w:jc w:val="center"/>
        <w:rPr>
          <w:b/>
          <w:sz w:val="24"/>
        </w:rPr>
      </w:pPr>
      <w:bookmarkStart w:id="9" w:name="4.响应文件的递交"/>
      <w:bookmarkEnd w:id="9"/>
      <w:r>
        <w:rPr>
          <w:rFonts w:hint="eastAsia"/>
          <w:b/>
          <w:sz w:val="24"/>
        </w:rPr>
        <w:t>4</w:t>
      </w:r>
      <w:r>
        <w:rPr>
          <w:b/>
          <w:sz w:val="24"/>
        </w:rPr>
        <w:t>.响应文件的递交</w:t>
      </w:r>
    </w:p>
    <w:p w14:paraId="247A3891">
      <w:pPr>
        <w:spacing w:line="360" w:lineRule="auto"/>
        <w:ind w:firstLine="442" w:firstLineChars="200"/>
        <w:rPr>
          <w:b/>
        </w:rPr>
      </w:pPr>
      <w:r>
        <w:rPr>
          <w:rFonts w:hint="eastAsia"/>
          <w:b/>
        </w:rPr>
        <w:t>4</w:t>
      </w:r>
      <w:r>
        <w:rPr>
          <w:b/>
        </w:rPr>
        <w:t>.1响应文件的递交</w:t>
      </w:r>
    </w:p>
    <w:p w14:paraId="10D39058">
      <w:pPr>
        <w:spacing w:line="360" w:lineRule="auto"/>
        <w:ind w:firstLine="440" w:firstLineChars="200"/>
      </w:pPr>
      <w:r>
        <w:t>4.1.1响应文件上传/递交截止时间及地点：见供应商须知前附表。</w:t>
      </w:r>
    </w:p>
    <w:p w14:paraId="1778308F">
      <w:pPr>
        <w:spacing w:line="360" w:lineRule="auto"/>
        <w:ind w:firstLine="440" w:firstLineChars="200"/>
      </w:pPr>
      <w:r>
        <w:t>4.1.2磋商响应文件的递交：供应商应在不迟于“供应商须知前附表”中规定的截止时间前将竞争性磋商响应文件加密上传至河南省公共资源交易中心（</w:t>
      </w:r>
      <w:r>
        <w:fldChar w:fldCharType="begin"/>
      </w:r>
      <w:r>
        <w:instrText xml:space="preserve"> HYPERLINK "http://hnsggzyjy.henan.gov.cn/" \h </w:instrText>
      </w:r>
      <w:r>
        <w:fldChar w:fldCharType="separate"/>
      </w:r>
      <w:r>
        <w:t>http://hnsggzyjy.henan.gov.cn/</w:t>
      </w:r>
      <w:r>
        <w:fldChar w:fldCharType="end"/>
      </w:r>
      <w:r>
        <w:t>），并在系统规定的时间内使用CA数字证书进行远程解密。迟交的电子响应文件将不被接收。</w:t>
      </w:r>
    </w:p>
    <w:p w14:paraId="4445410D">
      <w:pPr>
        <w:spacing w:line="360" w:lineRule="auto"/>
        <w:ind w:firstLine="442" w:firstLineChars="200"/>
        <w:rPr>
          <w:b/>
        </w:rPr>
      </w:pPr>
      <w:r>
        <w:rPr>
          <w:rFonts w:hint="eastAsia"/>
          <w:b/>
        </w:rPr>
        <w:t>4</w:t>
      </w:r>
      <w:r>
        <w:rPr>
          <w:b/>
        </w:rPr>
        <w:t>.2响应文件的修改与撤回</w:t>
      </w:r>
    </w:p>
    <w:p w14:paraId="6E574CA6">
      <w:pPr>
        <w:spacing w:line="360" w:lineRule="auto"/>
        <w:ind w:firstLine="440" w:firstLineChars="200"/>
      </w:pPr>
      <w:r>
        <w:rPr>
          <w:rFonts w:hint="eastAsia"/>
        </w:rPr>
        <w:t>4</w:t>
      </w:r>
      <w:r>
        <w:t>.2.1供应商在递交磋商响应文件后，可以在规定的磋商时间开始前修改或撤回其磋商响应文件。</w:t>
      </w:r>
    </w:p>
    <w:p w14:paraId="018CF96A">
      <w:pPr>
        <w:spacing w:line="360" w:lineRule="auto"/>
        <w:ind w:firstLine="440" w:firstLineChars="200"/>
      </w:pPr>
      <w:r>
        <w:t>4.2.2供应商在响应性文件接收截止时间后不得修改、撤回响应性文件。供应商在响应性文件接收截止时间后修改响应性文件的，将被拒绝。</w:t>
      </w:r>
    </w:p>
    <w:p w14:paraId="12A7BDB1">
      <w:pPr>
        <w:spacing w:line="360" w:lineRule="auto"/>
        <w:ind w:firstLine="482" w:firstLineChars="200"/>
        <w:jc w:val="center"/>
        <w:rPr>
          <w:b/>
          <w:sz w:val="24"/>
        </w:rPr>
      </w:pPr>
      <w:bookmarkStart w:id="10" w:name="5._磋商会议"/>
      <w:bookmarkEnd w:id="10"/>
      <w:r>
        <w:rPr>
          <w:rFonts w:hint="eastAsia"/>
          <w:b/>
          <w:sz w:val="24"/>
        </w:rPr>
        <w:t>5</w:t>
      </w:r>
      <w:r>
        <w:rPr>
          <w:b/>
          <w:sz w:val="24"/>
        </w:rPr>
        <w:t>.磋商会议</w:t>
      </w:r>
    </w:p>
    <w:p w14:paraId="7842BB23">
      <w:pPr>
        <w:spacing w:line="360" w:lineRule="auto"/>
        <w:ind w:firstLine="442" w:firstLineChars="200"/>
        <w:rPr>
          <w:b/>
        </w:rPr>
      </w:pPr>
      <w:r>
        <w:rPr>
          <w:rFonts w:hint="eastAsia"/>
          <w:b/>
        </w:rPr>
        <w:t>5</w:t>
      </w:r>
      <w:r>
        <w:rPr>
          <w:b/>
        </w:rPr>
        <w:t>.1磋商会议时间及地点</w:t>
      </w:r>
    </w:p>
    <w:p w14:paraId="36FB478E">
      <w:pPr>
        <w:spacing w:line="360" w:lineRule="auto"/>
        <w:ind w:firstLine="440" w:firstLineChars="200"/>
      </w:pPr>
      <w:r>
        <w:t>采购人和采购代理机构将按供应商须知前附表5.1条中规定的时间和地点组织磋商会议并邀请所有供应商代表在线参加。</w:t>
      </w:r>
    </w:p>
    <w:p w14:paraId="653832FB">
      <w:pPr>
        <w:spacing w:line="360" w:lineRule="auto"/>
        <w:ind w:firstLine="440" w:firstLineChars="200"/>
      </w:pPr>
      <w:r>
        <w:t xml:space="preserve">供应商不足3家的，不得继续磋商。 </w:t>
      </w:r>
    </w:p>
    <w:p w14:paraId="27CA9A35">
      <w:pPr>
        <w:spacing w:line="360" w:lineRule="auto"/>
        <w:ind w:firstLine="442" w:firstLineChars="200"/>
        <w:rPr>
          <w:b/>
        </w:rPr>
      </w:pPr>
      <w:r>
        <w:rPr>
          <w:b/>
        </w:rPr>
        <w:t>5.2磋商会议程序</w:t>
      </w:r>
    </w:p>
    <w:p w14:paraId="4CD28E34">
      <w:pPr>
        <w:spacing w:line="360" w:lineRule="auto"/>
        <w:ind w:firstLine="440" w:firstLineChars="200"/>
      </w:pPr>
      <w:r>
        <w:t>提交首次响应文件截止，宣布磋商会议开始；</w:t>
      </w:r>
    </w:p>
    <w:p w14:paraId="0625779C">
      <w:pPr>
        <w:spacing w:line="360" w:lineRule="auto"/>
        <w:ind w:firstLine="440" w:firstLineChars="200"/>
      </w:pPr>
      <w:r>
        <w:t>响应人对响应文件进行解密(响应人应在规定的时间内携带CA锁进行解密，未在规定的时间内进行解密的，磋商无效)；</w:t>
      </w:r>
    </w:p>
    <w:p w14:paraId="2E0E3FAB">
      <w:pPr>
        <w:spacing w:line="360" w:lineRule="auto"/>
        <w:ind w:firstLine="440" w:firstLineChars="200"/>
      </w:pPr>
      <w:r>
        <w:t xml:space="preserve">代理机构进行解密，会议结束。 </w:t>
      </w:r>
    </w:p>
    <w:p w14:paraId="48659631">
      <w:pPr>
        <w:spacing w:line="360" w:lineRule="auto"/>
        <w:ind w:firstLine="442" w:firstLineChars="200"/>
        <w:rPr>
          <w:b/>
        </w:rPr>
      </w:pPr>
      <w:r>
        <w:rPr>
          <w:b/>
        </w:rPr>
        <w:t>5.3会议异议</w:t>
      </w:r>
    </w:p>
    <w:p w14:paraId="2197B4BD">
      <w:pPr>
        <w:spacing w:line="360" w:lineRule="auto"/>
        <w:ind w:firstLine="440" w:firstLineChars="200"/>
      </w:pPr>
      <w:r>
        <w:t>供应商代表对磋商会议过程有异议，以及认为采购人、采购代理机构相关工作人员有需要回避的情形的，应当场提出询问或者回避申请。</w:t>
      </w:r>
    </w:p>
    <w:p w14:paraId="337D6059">
      <w:pPr>
        <w:spacing w:line="360" w:lineRule="auto"/>
        <w:ind w:firstLine="440" w:firstLineChars="200"/>
      </w:pPr>
      <w:r>
        <w:t>温馨提示：请各供应商认真学习河南省公共资源交易中心网站“办事指南”专区的《新交易平台使用手册（培训资料）》</w:t>
      </w:r>
    </w:p>
    <w:p w14:paraId="52D1E8D2">
      <w:pPr>
        <w:spacing w:line="360" w:lineRule="auto"/>
        <w:ind w:firstLine="440" w:firstLineChars="200"/>
      </w:pPr>
      <w:r>
        <w:t>注：在磋商、评审过程中，若出现异常情况导致无法正常采用电子磋商时，如出现网络中断、服务器发生故障或停电等其它不可抗力情形，导致电子交易系统无法正常运行的，应由采购人、采购代理机构视情况提出解决方案，及时通报监管部门和交易中心研究处理。</w:t>
      </w:r>
    </w:p>
    <w:p w14:paraId="40C14E0F">
      <w:pPr>
        <w:spacing w:line="360" w:lineRule="auto"/>
        <w:ind w:firstLine="482" w:firstLineChars="200"/>
        <w:jc w:val="center"/>
        <w:rPr>
          <w:b/>
          <w:sz w:val="24"/>
        </w:rPr>
      </w:pPr>
      <w:bookmarkStart w:id="11" w:name="6.评审会议"/>
      <w:bookmarkEnd w:id="11"/>
      <w:r>
        <w:rPr>
          <w:rFonts w:hint="eastAsia"/>
          <w:b/>
          <w:sz w:val="24"/>
        </w:rPr>
        <w:t>6</w:t>
      </w:r>
      <w:r>
        <w:rPr>
          <w:b/>
          <w:sz w:val="24"/>
        </w:rPr>
        <w:t>.评审会议</w:t>
      </w:r>
    </w:p>
    <w:p w14:paraId="64AD27C6">
      <w:pPr>
        <w:spacing w:line="360" w:lineRule="auto"/>
        <w:ind w:firstLine="442" w:firstLineChars="200"/>
        <w:rPr>
          <w:b/>
        </w:rPr>
      </w:pPr>
      <w:r>
        <w:rPr>
          <w:rFonts w:hint="eastAsia"/>
          <w:b/>
        </w:rPr>
        <w:t>6</w:t>
      </w:r>
      <w:r>
        <w:rPr>
          <w:b/>
        </w:rPr>
        <w:t>.1组建磋商小组</w:t>
      </w:r>
    </w:p>
    <w:p w14:paraId="1F288ABD">
      <w:pPr>
        <w:spacing w:line="360" w:lineRule="auto"/>
        <w:ind w:firstLine="440" w:firstLineChars="200"/>
      </w:pPr>
      <w:r>
        <w:rPr>
          <w:rFonts w:hint="eastAsia"/>
        </w:rPr>
        <w:t>6</w:t>
      </w:r>
      <w:r>
        <w:t>.1.1按照《政府采购竞争性磋商采购方式管理暂行办法》有关规定依法组建磋商小组，负责本项目评审工作。磋商小组由采购人代表和评审专家共3人以上单数组成。达到公开招标数额的项目，磋商小组应该由5人以上单数组成。本项目磋商小组组成详见供应商须知前附表6.1.1条。</w:t>
      </w:r>
    </w:p>
    <w:p w14:paraId="67E5AB6F">
      <w:pPr>
        <w:spacing w:line="360" w:lineRule="auto"/>
        <w:ind w:firstLine="440" w:firstLineChars="200"/>
      </w:pPr>
      <w:r>
        <w:rPr>
          <w:rFonts w:hint="eastAsia"/>
        </w:rPr>
        <w:t>6</w:t>
      </w:r>
      <w:r>
        <w:t>.1.2磋商小组成员有下列情形之一的，应当回避：</w:t>
      </w:r>
    </w:p>
    <w:p w14:paraId="5DFED98D">
      <w:pPr>
        <w:spacing w:line="360" w:lineRule="auto"/>
        <w:ind w:firstLine="440" w:firstLineChars="200"/>
      </w:pPr>
      <w:r>
        <w:t>供应商或供应商主要负责人的近亲属；</w:t>
      </w:r>
    </w:p>
    <w:p w14:paraId="1D1CF954">
      <w:pPr>
        <w:spacing w:line="360" w:lineRule="auto"/>
        <w:ind w:firstLine="440" w:firstLineChars="200"/>
      </w:pPr>
      <w:r>
        <w:t>项目主管部门或者行政监督部门的人员；</w:t>
      </w:r>
    </w:p>
    <w:p w14:paraId="135DD9AD">
      <w:pPr>
        <w:spacing w:line="360" w:lineRule="auto"/>
        <w:ind w:firstLine="440" w:firstLineChars="200"/>
      </w:pPr>
      <w:r>
        <w:t>与供应商有经济利益关系，可能影响对磋商公正评审的；</w:t>
      </w:r>
    </w:p>
    <w:p w14:paraId="3FF4BE0A">
      <w:pPr>
        <w:spacing w:line="360" w:lineRule="auto"/>
        <w:ind w:firstLine="440" w:firstLineChars="200"/>
      </w:pPr>
      <w:r>
        <w:t>曾因在磋商、评审以及有关活动中从事违法行为而受过行政处罚或刑事处罚的；</w:t>
      </w:r>
    </w:p>
    <w:p w14:paraId="7200E538">
      <w:pPr>
        <w:spacing w:line="360" w:lineRule="auto"/>
        <w:ind w:firstLine="440" w:firstLineChars="200"/>
      </w:pPr>
      <w:r>
        <w:t>与供应商有其他利害关系。</w:t>
      </w:r>
    </w:p>
    <w:p w14:paraId="187EC3E5">
      <w:pPr>
        <w:spacing w:line="360" w:lineRule="auto"/>
        <w:ind w:firstLine="440" w:firstLineChars="200"/>
      </w:pPr>
      <w:r>
        <w:t>评审过程中，磋商小组成员有回避事由、擅离职守或者因健康等原因不能继续评审的，采购人有权更换。被更换的磋商小组成员作出的评审结论无效，由更换后的磋商小组成员重新进行评审。</w:t>
      </w:r>
    </w:p>
    <w:p w14:paraId="23E52C2E">
      <w:pPr>
        <w:spacing w:line="360" w:lineRule="auto"/>
        <w:ind w:firstLine="442" w:firstLineChars="200"/>
        <w:rPr>
          <w:b/>
        </w:rPr>
      </w:pPr>
      <w:r>
        <w:rPr>
          <w:b/>
        </w:rPr>
        <w:t>6.2评审原则</w:t>
      </w:r>
    </w:p>
    <w:p w14:paraId="3E39DFE1">
      <w:pPr>
        <w:spacing w:line="360" w:lineRule="auto"/>
        <w:ind w:firstLine="440" w:firstLineChars="200"/>
      </w:pPr>
      <w:r>
        <w:t>评审活动遵循客观、公正、审慎的原则。</w:t>
      </w:r>
    </w:p>
    <w:p w14:paraId="14136332">
      <w:pPr>
        <w:spacing w:line="360" w:lineRule="auto"/>
        <w:ind w:firstLine="442" w:firstLineChars="200"/>
        <w:rPr>
          <w:b/>
        </w:rPr>
      </w:pPr>
      <w:r>
        <w:rPr>
          <w:b/>
        </w:rPr>
        <w:t xml:space="preserve"> 6.3评审</w:t>
      </w:r>
    </w:p>
    <w:p w14:paraId="62D9F0FB">
      <w:pPr>
        <w:spacing w:line="360" w:lineRule="auto"/>
        <w:ind w:firstLine="440" w:firstLineChars="200"/>
      </w:pPr>
      <w:r>
        <w:rPr>
          <w:rFonts w:hint="eastAsia"/>
        </w:rPr>
        <w:t>6</w:t>
      </w:r>
      <w:r>
        <w:t>.3.1磋商小组按照第三章“评审办法”规定的方法、评审因素、标准和程序对响应文件进行评审。第三章“评审办法”没有规定的方法、评审因素和标准，不作为评审依据。</w:t>
      </w:r>
    </w:p>
    <w:p w14:paraId="711861F1">
      <w:pPr>
        <w:spacing w:line="360" w:lineRule="auto"/>
        <w:ind w:firstLine="440" w:firstLineChars="200"/>
      </w:pPr>
      <w:r>
        <w:rPr>
          <w:rFonts w:hint="eastAsia"/>
        </w:rPr>
        <w:t>6</w:t>
      </w:r>
      <w:r>
        <w:t>.3.2评审完成后，磋商小组应当向采购人提交书面评审报告和成交候选供应商名单。磋商小组推荐成交候选供应商的数量见供应商须知前附表。</w:t>
      </w:r>
    </w:p>
    <w:p w14:paraId="1046596E">
      <w:pPr>
        <w:spacing w:line="360" w:lineRule="auto"/>
        <w:ind w:firstLine="482" w:firstLineChars="200"/>
        <w:jc w:val="center"/>
        <w:rPr>
          <w:b/>
          <w:sz w:val="24"/>
        </w:rPr>
      </w:pPr>
      <w:bookmarkStart w:id="12" w:name="7._确定成交"/>
      <w:bookmarkEnd w:id="12"/>
      <w:r>
        <w:rPr>
          <w:rFonts w:hint="eastAsia"/>
          <w:b/>
          <w:sz w:val="24"/>
        </w:rPr>
        <w:t>7</w:t>
      </w:r>
      <w:r>
        <w:rPr>
          <w:b/>
          <w:sz w:val="24"/>
        </w:rPr>
        <w:t>.确定成交</w:t>
      </w:r>
    </w:p>
    <w:p w14:paraId="70C2822F">
      <w:pPr>
        <w:spacing w:line="360" w:lineRule="auto"/>
        <w:ind w:firstLine="442" w:firstLineChars="200"/>
        <w:rPr>
          <w:b/>
        </w:rPr>
      </w:pPr>
      <w:r>
        <w:rPr>
          <w:rFonts w:hint="eastAsia"/>
          <w:b/>
        </w:rPr>
        <w:t>7</w:t>
      </w:r>
      <w:r>
        <w:rPr>
          <w:b/>
        </w:rPr>
        <w:t>.1确定成交供应商</w:t>
      </w:r>
    </w:p>
    <w:p w14:paraId="4D779A2B">
      <w:pPr>
        <w:spacing w:line="360" w:lineRule="auto"/>
        <w:ind w:firstLine="440" w:firstLineChars="200"/>
      </w:pPr>
      <w:r>
        <w:t>除供应商须知前附表规定磋商小组直接确定成交供应商外，采购人在收到评审报告5个工作日内，采购人依据磋商小组推荐的成交候选供应商确定成交供应商，磋商小组推荐成交候选供应商的数量见供应商须知前附表。采购人将依序确定排名靠前的供应商为成交候选供应商，若排名在前的成交候选供应商放弃成交、因不可抗力不能履行合同，或者被查实存在影响成交结果的违法行为等情形，不符合成交条件的，采购人可以按照磋商小组提出的成交候选供应商名单排序依次确定其他成交候选供应商为成交供应商，也可以重新磋商。</w:t>
      </w:r>
    </w:p>
    <w:p w14:paraId="2A02254D">
      <w:pPr>
        <w:spacing w:line="360" w:lineRule="auto"/>
        <w:ind w:firstLine="442" w:firstLineChars="200"/>
        <w:rPr>
          <w:b/>
        </w:rPr>
      </w:pPr>
      <w:r>
        <w:rPr>
          <w:rFonts w:hint="eastAsia"/>
          <w:b/>
        </w:rPr>
        <w:t>7</w:t>
      </w:r>
      <w:r>
        <w:rPr>
          <w:b/>
        </w:rPr>
        <w:t>.2采购任务取消</w:t>
      </w:r>
    </w:p>
    <w:p w14:paraId="29CC45ED">
      <w:pPr>
        <w:spacing w:line="360" w:lineRule="auto"/>
        <w:ind w:firstLine="440" w:firstLineChars="200"/>
      </w:pPr>
      <w:r>
        <w:t>因重大变故采购任务取消时，采购人有权拒绝任何供应商成交，且对受影响的供应商不承担任何责任。</w:t>
      </w:r>
    </w:p>
    <w:p w14:paraId="15F207EB">
      <w:pPr>
        <w:spacing w:line="360" w:lineRule="auto"/>
        <w:ind w:firstLine="442" w:firstLineChars="200"/>
        <w:rPr>
          <w:b/>
        </w:rPr>
      </w:pPr>
      <w:r>
        <w:rPr>
          <w:rFonts w:hint="eastAsia"/>
          <w:b/>
        </w:rPr>
        <w:t>7</w:t>
      </w:r>
      <w:r>
        <w:rPr>
          <w:b/>
        </w:rPr>
        <w:t>.3成交通知</w:t>
      </w:r>
    </w:p>
    <w:p w14:paraId="38142495">
      <w:pPr>
        <w:spacing w:line="360" w:lineRule="auto"/>
        <w:ind w:firstLine="440" w:firstLineChars="200"/>
      </w:pPr>
      <w:r>
        <w:t>采购人或者采购代理机构应当在成交供应商确定之日起2个工作日内，发布公告同一媒体上公告成交结果，同时向成交供应商发出成交通知书。</w:t>
      </w:r>
    </w:p>
    <w:p w14:paraId="01E34551">
      <w:pPr>
        <w:spacing w:line="360" w:lineRule="auto"/>
        <w:ind w:firstLine="440" w:firstLineChars="200"/>
      </w:pPr>
      <w:r>
        <w:t>成交通知书是合同的组成部分。</w:t>
      </w:r>
    </w:p>
    <w:p w14:paraId="7F753E8C">
      <w:pPr>
        <w:spacing w:line="360" w:lineRule="auto"/>
        <w:ind w:firstLine="442" w:firstLineChars="200"/>
        <w:rPr>
          <w:b/>
        </w:rPr>
      </w:pPr>
      <w:r>
        <w:rPr>
          <w:rFonts w:hint="eastAsia"/>
          <w:b/>
        </w:rPr>
        <w:t>7</w:t>
      </w:r>
      <w:r>
        <w:rPr>
          <w:b/>
        </w:rPr>
        <w:t>.4履约担保</w:t>
      </w:r>
    </w:p>
    <w:p w14:paraId="560CA7A8">
      <w:pPr>
        <w:spacing w:line="360" w:lineRule="auto"/>
        <w:ind w:firstLine="440" w:firstLineChars="200"/>
      </w:pPr>
      <w:r>
        <w:t>在签订合同前，成交供应商应按供应商须知前附表的规定向采购人提交履约担保。</w:t>
      </w:r>
    </w:p>
    <w:p w14:paraId="429077C7">
      <w:pPr>
        <w:spacing w:line="360" w:lineRule="auto"/>
        <w:ind w:firstLine="440" w:firstLineChars="200"/>
      </w:pPr>
      <w:r>
        <w:t>成交供应商不能按本章第7.4.1项要求提交履约担保的，视为放弃成交，给采购人造成的损失的，成交供应商还应当予以赔偿。</w:t>
      </w:r>
    </w:p>
    <w:p w14:paraId="24BAEDAC">
      <w:pPr>
        <w:spacing w:line="360" w:lineRule="auto"/>
        <w:ind w:firstLine="442" w:firstLineChars="200"/>
        <w:rPr>
          <w:b/>
        </w:rPr>
      </w:pPr>
      <w:r>
        <w:rPr>
          <w:rFonts w:hint="eastAsia"/>
          <w:b/>
        </w:rPr>
        <w:t>7</w:t>
      </w:r>
      <w:r>
        <w:rPr>
          <w:b/>
        </w:rPr>
        <w:t>.5签订合同</w:t>
      </w:r>
    </w:p>
    <w:p w14:paraId="6C0BB8FD">
      <w:pPr>
        <w:spacing w:line="360" w:lineRule="auto"/>
        <w:ind w:firstLine="440" w:firstLineChars="200"/>
      </w:pPr>
      <w:r>
        <w:t>采购人和成交供应商应当自成交通知书发出之日起15日历天内，根据竞争性磋商文件和成交供应商的竞争性磋商响应文件订立书面合同。成交供应商无正当理由拒签合同的，采购人取消其成交资格；给采购人造成的损失的，成交供应商还应当予以赔偿。</w:t>
      </w:r>
    </w:p>
    <w:p w14:paraId="2826F043">
      <w:pPr>
        <w:spacing w:line="360" w:lineRule="auto"/>
        <w:ind w:firstLine="440" w:firstLineChars="200"/>
      </w:pPr>
      <w:r>
        <w:t>发出成交通知书后，采购人无正当理由拒签合同的；给成交供应商造成损失的，还应当赔偿损失。</w:t>
      </w:r>
    </w:p>
    <w:p w14:paraId="5BFFA389">
      <w:pPr>
        <w:spacing w:line="360" w:lineRule="auto"/>
        <w:ind w:firstLine="442" w:firstLineChars="200"/>
        <w:rPr>
          <w:b/>
        </w:rPr>
      </w:pPr>
      <w:r>
        <w:rPr>
          <w:rFonts w:hint="eastAsia"/>
          <w:b/>
        </w:rPr>
        <w:t>7</w:t>
      </w:r>
      <w:r>
        <w:rPr>
          <w:b/>
        </w:rPr>
        <w:t>.6付款方式</w:t>
      </w:r>
    </w:p>
    <w:p w14:paraId="2E44844E">
      <w:pPr>
        <w:spacing w:line="360" w:lineRule="auto"/>
        <w:ind w:firstLine="440" w:firstLineChars="200"/>
      </w:pPr>
      <w:r>
        <w:rPr>
          <w:rFonts w:hint="eastAsia"/>
        </w:rPr>
        <w:t>7</w:t>
      </w:r>
      <w:r>
        <w:t>.6.1付款方式：详见供应商须知前附表</w:t>
      </w:r>
    </w:p>
    <w:p w14:paraId="3DCBE5F1">
      <w:pPr>
        <w:spacing w:line="360" w:lineRule="auto"/>
        <w:ind w:firstLine="442" w:firstLineChars="200"/>
        <w:jc w:val="center"/>
        <w:rPr>
          <w:b/>
        </w:rPr>
      </w:pPr>
      <w:bookmarkStart w:id="13" w:name="8.重新采购"/>
      <w:bookmarkEnd w:id="13"/>
      <w:r>
        <w:rPr>
          <w:rFonts w:hint="eastAsia"/>
          <w:b/>
        </w:rPr>
        <w:t>8</w:t>
      </w:r>
      <w:r>
        <w:rPr>
          <w:b/>
        </w:rPr>
        <w:t>.重新采购</w:t>
      </w:r>
    </w:p>
    <w:p w14:paraId="24A88FEB">
      <w:pPr>
        <w:spacing w:line="360" w:lineRule="auto"/>
        <w:ind w:firstLine="442" w:firstLineChars="200"/>
        <w:rPr>
          <w:b/>
        </w:rPr>
      </w:pPr>
      <w:r>
        <w:rPr>
          <w:rFonts w:hint="eastAsia"/>
          <w:b/>
        </w:rPr>
        <w:t>8</w:t>
      </w:r>
      <w:r>
        <w:rPr>
          <w:b/>
        </w:rPr>
        <w:t>.1重新采购</w:t>
      </w:r>
    </w:p>
    <w:p w14:paraId="28EFB9FC">
      <w:pPr>
        <w:spacing w:line="360" w:lineRule="auto"/>
        <w:ind w:firstLine="440" w:firstLineChars="200"/>
      </w:pPr>
      <w:r>
        <w:t>有下列情形之一的，采购人或者采购代理机构应当终止竞争性磋商采购活动，发布项目终止公告并说明原因，重新开展采购活动：</w:t>
      </w:r>
    </w:p>
    <w:p w14:paraId="2548FD23">
      <w:pPr>
        <w:spacing w:line="360" w:lineRule="auto"/>
        <w:ind w:firstLine="440" w:firstLineChars="200"/>
      </w:pPr>
      <w:r>
        <w:t>（一）因情况变化，不再符合规定的竞争性磋商采购方式适用情形的；</w:t>
      </w:r>
    </w:p>
    <w:p w14:paraId="7456564B">
      <w:pPr>
        <w:spacing w:line="360" w:lineRule="auto"/>
        <w:ind w:firstLine="440" w:firstLineChars="200"/>
      </w:pPr>
      <w:r>
        <w:t>（二）出现影响采购公正的违法、违规行为的；</w:t>
      </w:r>
    </w:p>
    <w:p w14:paraId="7D7FF962">
      <w:pPr>
        <w:spacing w:line="360" w:lineRule="auto"/>
        <w:ind w:firstLine="440" w:firstLineChars="200"/>
      </w:pPr>
      <w:r>
        <w:t>（三）除本办法第二十一条第三款规定的情形外，在采购过程中符合要求的供应商或者报价未超过采购预算的供应商不足3家的。</w:t>
      </w:r>
    </w:p>
    <w:p w14:paraId="240425CD">
      <w:pPr>
        <w:spacing w:line="360" w:lineRule="auto"/>
        <w:ind w:firstLine="482" w:firstLineChars="200"/>
        <w:jc w:val="center"/>
        <w:rPr>
          <w:b/>
          <w:sz w:val="24"/>
        </w:rPr>
      </w:pPr>
      <w:bookmarkStart w:id="14" w:name="9.纪律和监督"/>
      <w:bookmarkEnd w:id="14"/>
      <w:r>
        <w:rPr>
          <w:rFonts w:hint="eastAsia"/>
          <w:b/>
          <w:sz w:val="24"/>
        </w:rPr>
        <w:t>9</w:t>
      </w:r>
      <w:r>
        <w:rPr>
          <w:b/>
          <w:sz w:val="24"/>
        </w:rPr>
        <w:t>.纪律和监督</w:t>
      </w:r>
    </w:p>
    <w:p w14:paraId="49B91BBB">
      <w:pPr>
        <w:spacing w:line="360" w:lineRule="auto"/>
        <w:ind w:firstLine="442" w:firstLineChars="200"/>
        <w:rPr>
          <w:b/>
        </w:rPr>
      </w:pPr>
      <w:r>
        <w:rPr>
          <w:rFonts w:hint="eastAsia"/>
          <w:b/>
        </w:rPr>
        <w:t>9</w:t>
      </w:r>
      <w:r>
        <w:rPr>
          <w:b/>
        </w:rPr>
        <w:t>.1对采购人的纪律要求</w:t>
      </w:r>
    </w:p>
    <w:p w14:paraId="1CEBEE1D">
      <w:pPr>
        <w:spacing w:line="360" w:lineRule="auto"/>
        <w:ind w:firstLine="440" w:firstLineChars="200"/>
      </w:pPr>
      <w:r>
        <w:t>采购人不得泄漏磋商活动中应当保密的情况和资料，不得与供应商串通损害国家利益、社会公共利益或者他人合法权益。</w:t>
      </w:r>
    </w:p>
    <w:p w14:paraId="640E4180">
      <w:pPr>
        <w:spacing w:line="360" w:lineRule="auto"/>
        <w:ind w:firstLine="442" w:firstLineChars="200"/>
        <w:rPr>
          <w:b/>
        </w:rPr>
      </w:pPr>
      <w:r>
        <w:rPr>
          <w:rFonts w:hint="eastAsia"/>
          <w:b/>
        </w:rPr>
        <w:t>9</w:t>
      </w:r>
      <w:r>
        <w:rPr>
          <w:b/>
        </w:rPr>
        <w:t>.2对供应商的纪律要求</w:t>
      </w:r>
    </w:p>
    <w:p w14:paraId="5E367DA1">
      <w:pPr>
        <w:spacing w:line="360" w:lineRule="auto"/>
        <w:ind w:firstLine="440" w:firstLineChars="200"/>
      </w:pPr>
      <w:r>
        <w:t>供应商不得相互串通或者与采购人串通，不得向采购人或者磋商成员行贿谋取成交，不得以他人名义参与磋商或者以其他方式弄虚作假骗取成交；供应商不得以任何方式干扰、影响评审工作。</w:t>
      </w:r>
    </w:p>
    <w:p w14:paraId="76018878">
      <w:pPr>
        <w:spacing w:line="360" w:lineRule="auto"/>
        <w:ind w:firstLine="442" w:firstLineChars="200"/>
        <w:rPr>
          <w:b/>
        </w:rPr>
      </w:pPr>
      <w:r>
        <w:rPr>
          <w:rFonts w:hint="eastAsia"/>
          <w:b/>
        </w:rPr>
        <w:t>9</w:t>
      </w:r>
      <w:r>
        <w:rPr>
          <w:b/>
        </w:rPr>
        <w:t>.3对磋商小组成员的纪律要求</w:t>
      </w:r>
    </w:p>
    <w:p w14:paraId="34EF9F53">
      <w:pPr>
        <w:spacing w:line="360" w:lineRule="auto"/>
        <w:ind w:firstLine="440" w:firstLineChars="200"/>
      </w:pPr>
      <w:r>
        <w:t>磋商小组成员不得收受他人的财物或者其他好处，不得向他人透漏对竞争性磋商响应文件的评 审和比较、成交候选供应商的推荐情况以及评审有关的其他情况。在评审活动中，磋商小组成员不得擅离职守，影响评审程序正常进行，不得使用“评审办法”没有规定的评审因素和标准进行评审。</w:t>
      </w:r>
    </w:p>
    <w:p w14:paraId="61EEEC4E">
      <w:pPr>
        <w:spacing w:line="360" w:lineRule="auto"/>
        <w:ind w:firstLine="442" w:firstLineChars="200"/>
        <w:rPr>
          <w:b/>
        </w:rPr>
      </w:pPr>
      <w:r>
        <w:rPr>
          <w:rFonts w:hint="eastAsia"/>
          <w:b/>
        </w:rPr>
        <w:t>9</w:t>
      </w:r>
      <w:r>
        <w:rPr>
          <w:b/>
        </w:rPr>
        <w:t>.4对与评审活动有关的工作人员的纪律要求</w:t>
      </w:r>
    </w:p>
    <w:p w14:paraId="4888BEFD">
      <w:pPr>
        <w:spacing w:line="360" w:lineRule="auto"/>
        <w:ind w:firstLine="440" w:firstLineChars="200"/>
      </w:pPr>
      <w:r>
        <w:t>与评审活动有关的工作人员不得收受他人的财物或者其他好处，不得向他人透漏对竞争性磋商响应文件的评审和比较、成交候选供应商的推荐情况以及评审有关的其他情况。在评审活动中，与评审活动有关的工作人员不得擅离职守，影响评审程序正常进行。</w:t>
      </w:r>
    </w:p>
    <w:p w14:paraId="22478DFA">
      <w:pPr>
        <w:spacing w:line="360" w:lineRule="auto"/>
        <w:ind w:firstLine="442" w:firstLineChars="200"/>
        <w:rPr>
          <w:b/>
        </w:rPr>
      </w:pPr>
      <w:r>
        <w:rPr>
          <w:rFonts w:hint="eastAsia"/>
          <w:b/>
        </w:rPr>
        <w:t>9</w:t>
      </w:r>
      <w:r>
        <w:rPr>
          <w:b/>
        </w:rPr>
        <w:t>.5质疑与接收</w:t>
      </w:r>
    </w:p>
    <w:p w14:paraId="27F6C2E9">
      <w:pPr>
        <w:spacing w:line="360" w:lineRule="auto"/>
        <w:ind w:firstLine="440" w:firstLineChars="200"/>
      </w:pPr>
      <w:r>
        <w:t>采购代理机构质疑函接收部门、联系电话和通讯地址，见供应商须知前附表。</w:t>
      </w:r>
    </w:p>
    <w:p w14:paraId="57D33070">
      <w:pPr>
        <w:spacing w:line="360" w:lineRule="auto"/>
        <w:ind w:firstLine="482" w:firstLineChars="200"/>
        <w:jc w:val="center"/>
        <w:rPr>
          <w:b/>
          <w:sz w:val="24"/>
        </w:rPr>
      </w:pPr>
      <w:bookmarkStart w:id="15" w:name="10.需要补充的其他内容"/>
      <w:bookmarkEnd w:id="15"/>
      <w:r>
        <w:rPr>
          <w:rFonts w:hint="eastAsia"/>
          <w:b/>
          <w:sz w:val="24"/>
        </w:rPr>
        <w:t>1</w:t>
      </w:r>
      <w:r>
        <w:rPr>
          <w:b/>
          <w:sz w:val="24"/>
        </w:rPr>
        <w:t>0.需要补充的其他内容</w:t>
      </w:r>
    </w:p>
    <w:p w14:paraId="085A3A49">
      <w:pPr>
        <w:spacing w:line="360" w:lineRule="auto"/>
        <w:ind w:firstLine="440" w:firstLineChars="200"/>
      </w:pPr>
      <w:r>
        <w:t>需要补充的其他内容：见供应商须知前附表。</w:t>
      </w:r>
    </w:p>
    <w:p w14:paraId="766DCC13">
      <w:pPr>
        <w:pStyle w:val="18"/>
        <w:sectPr>
          <w:pgSz w:w="11920" w:h="16850"/>
          <w:pgMar w:top="1420" w:right="992" w:bottom="1100" w:left="1133" w:header="0" w:footer="913" w:gutter="0"/>
          <w:cols w:space="720" w:num="1"/>
        </w:sectPr>
      </w:pPr>
    </w:p>
    <w:p w14:paraId="47F5DEA4">
      <w:pPr>
        <w:pStyle w:val="10"/>
        <w:spacing w:line="371" w:lineRule="exact"/>
        <w:ind w:left="0" w:right="81" w:firstLine="0"/>
        <w:jc w:val="center"/>
        <w:rPr>
          <w:rFonts w:ascii="宋体" w:hAnsi="宋体" w:eastAsia="宋体"/>
        </w:rPr>
      </w:pPr>
      <w:r>
        <w:rPr>
          <w:rFonts w:ascii="宋体" w:hAnsi="宋体" w:eastAsia="宋体"/>
          <w:spacing w:val="-2"/>
        </w:rPr>
        <w:t>其它注意事项：</w:t>
      </w:r>
    </w:p>
    <w:p w14:paraId="521896E7">
      <w:pPr>
        <w:pStyle w:val="10"/>
        <w:spacing w:before="22"/>
        <w:ind w:left="0" w:right="8478" w:firstLine="0"/>
        <w:jc w:val="center"/>
        <w:rPr>
          <w:rFonts w:ascii="宋体" w:hAnsi="宋体" w:eastAsia="宋体"/>
        </w:rPr>
      </w:pPr>
      <w:r>
        <w:rPr>
          <w:rFonts w:ascii="宋体" w:hAnsi="宋体" w:eastAsia="宋体"/>
        </w:rPr>
        <w:t>附件</w:t>
      </w:r>
      <w:r>
        <w:rPr>
          <w:rFonts w:ascii="宋体" w:hAnsi="宋体" w:eastAsia="宋体"/>
          <w:spacing w:val="-5"/>
        </w:rPr>
        <w:t>1：</w:t>
      </w:r>
    </w:p>
    <w:p w14:paraId="76E34103">
      <w:pPr>
        <w:pStyle w:val="18"/>
        <w:spacing w:before="3"/>
        <w:ind w:left="0"/>
        <w:rPr>
          <w:b/>
          <w:sz w:val="19"/>
        </w:rPr>
      </w:pPr>
      <w:r>
        <w:rPr>
          <w:b/>
          <w:sz w:val="19"/>
        </w:rPr>
        <w:drawing>
          <wp:anchor distT="0" distB="0" distL="0" distR="0" simplePos="0" relativeHeight="251659264" behindDoc="1" locked="0" layoutInCell="1" allowOverlap="1">
            <wp:simplePos x="0" y="0"/>
            <wp:positionH relativeFrom="page">
              <wp:posOffset>922655</wp:posOffset>
            </wp:positionH>
            <wp:positionV relativeFrom="paragraph">
              <wp:posOffset>238760</wp:posOffset>
            </wp:positionV>
            <wp:extent cx="5715000" cy="4585970"/>
            <wp:effectExtent l="0" t="0" r="0" b="0"/>
            <wp:wrapTopAndBottom/>
            <wp:docPr id="4" name="Image 4"/>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6" cstate="print"/>
                    <a:stretch>
                      <a:fillRect/>
                    </a:stretch>
                  </pic:blipFill>
                  <pic:spPr>
                    <a:xfrm>
                      <a:off x="0" y="0"/>
                      <a:ext cx="5714870" cy="4586287"/>
                    </a:xfrm>
                    <a:prstGeom prst="rect">
                      <a:avLst/>
                    </a:prstGeom>
                  </pic:spPr>
                </pic:pic>
              </a:graphicData>
            </a:graphic>
          </wp:anchor>
        </w:drawing>
      </w:r>
    </w:p>
    <w:p w14:paraId="6F538779">
      <w:pPr>
        <w:pStyle w:val="18"/>
        <w:ind w:left="0"/>
        <w:rPr>
          <w:b/>
        </w:rPr>
      </w:pPr>
    </w:p>
    <w:p w14:paraId="3D4D187C">
      <w:pPr>
        <w:pStyle w:val="18"/>
        <w:spacing w:before="296"/>
        <w:ind w:left="0"/>
        <w:rPr>
          <w:b/>
        </w:rPr>
      </w:pPr>
    </w:p>
    <w:p w14:paraId="29169FEF">
      <w:pPr>
        <w:pStyle w:val="18"/>
        <w:ind w:left="319"/>
      </w:pPr>
      <w:r>
        <w:rPr>
          <w:spacing w:val="-3"/>
        </w:rPr>
        <w:t>河南省公共资源交易中心</w:t>
      </w:r>
    </w:p>
    <w:p w14:paraId="26CCA812">
      <w:pPr>
        <w:pStyle w:val="9"/>
        <w:spacing w:before="138" w:line="364" w:lineRule="auto"/>
        <w:ind w:left="314"/>
      </w:pPr>
      <w:r>
        <w:fldChar w:fldCharType="begin"/>
      </w:r>
      <w:r>
        <w:instrText xml:space="preserve"> HYPERLINK "http://www.hnggzyjy.cn/xxgk/003002/20230320/25ed25d3-4dae-4b55-892f-21f21cb73239.html" \h </w:instrText>
      </w:r>
      <w:r>
        <w:fldChar w:fldCharType="separate"/>
      </w:r>
      <w:r>
        <w:rPr>
          <w:spacing w:val="-2"/>
        </w:rPr>
        <w:t>http://hnsggzyjy.henan.gov.cn/ggfw/004006/20230320/25ed25d3-4dae-4b55-892f-21f21cb</w:t>
      </w:r>
      <w:r>
        <w:rPr>
          <w:spacing w:val="-2"/>
        </w:rPr>
        <w:fldChar w:fldCharType="end"/>
      </w:r>
      <w:r>
        <w:rPr>
          <w:spacing w:val="-2"/>
        </w:rPr>
        <w:t xml:space="preserve"> </w:t>
      </w:r>
      <w:r>
        <w:fldChar w:fldCharType="begin"/>
      </w:r>
      <w:r>
        <w:instrText xml:space="preserve"> HYPERLINK "http://www.hnggzyjy.cn/xxgk/003002/20230320/25ed25d3-4dae-4b55-892f-21f21cb73239.html" \h </w:instrText>
      </w:r>
      <w:r>
        <w:fldChar w:fldCharType="separate"/>
      </w:r>
      <w:r>
        <w:rPr>
          <w:spacing w:val="-2"/>
        </w:rPr>
        <w:t>73239.html</w:t>
      </w:r>
      <w:r>
        <w:rPr>
          <w:spacing w:val="-2"/>
        </w:rPr>
        <w:fldChar w:fldCharType="end"/>
      </w:r>
    </w:p>
    <w:p w14:paraId="5E4DD6F5">
      <w:pPr>
        <w:pStyle w:val="9"/>
        <w:spacing w:line="364" w:lineRule="auto"/>
        <w:sectPr>
          <w:pgSz w:w="11920" w:h="16850"/>
          <w:pgMar w:top="1420" w:right="992" w:bottom="1100" w:left="1133" w:header="0" w:footer="913" w:gutter="0"/>
          <w:cols w:space="720" w:num="1"/>
        </w:sectPr>
      </w:pPr>
    </w:p>
    <w:p w14:paraId="511CFA75">
      <w:pPr>
        <w:pStyle w:val="10"/>
        <w:spacing w:line="371" w:lineRule="exact"/>
        <w:ind w:left="283" w:firstLine="0"/>
        <w:rPr>
          <w:rFonts w:ascii="宋体" w:hAnsi="宋体" w:eastAsia="宋体"/>
          <w:sz w:val="28"/>
        </w:rPr>
      </w:pPr>
      <w:r>
        <w:rPr>
          <w:rFonts w:ascii="宋体" w:hAnsi="宋体" w:eastAsia="宋体"/>
        </w:rPr>
        <w:t>附件</w:t>
      </w:r>
      <w:r>
        <w:rPr>
          <w:rFonts w:ascii="宋体" w:hAnsi="宋体" w:eastAsia="宋体"/>
          <w:spacing w:val="-5"/>
        </w:rPr>
        <w:t>2：</w:t>
      </w:r>
      <w:r>
        <w:rPr>
          <w:rFonts w:ascii="宋体" w:hAnsi="宋体" w:eastAsia="宋体"/>
          <w:spacing w:val="-1"/>
          <w:sz w:val="28"/>
        </w:rPr>
        <w:t>统计上大中小微型企业划分标准</w:t>
      </w:r>
    </w:p>
    <w:tbl>
      <w:tblPr>
        <w:tblStyle w:val="46"/>
        <w:tblW w:w="9341" w:type="dxa"/>
        <w:jc w:val="center"/>
        <w:tblLayout w:type="fixed"/>
        <w:tblCellMar>
          <w:top w:w="0" w:type="dxa"/>
          <w:left w:w="108" w:type="dxa"/>
          <w:bottom w:w="0" w:type="dxa"/>
          <w:right w:w="108" w:type="dxa"/>
        </w:tblCellMar>
      </w:tblPr>
      <w:tblGrid>
        <w:gridCol w:w="1714"/>
        <w:gridCol w:w="1426"/>
        <w:gridCol w:w="738"/>
        <w:gridCol w:w="1172"/>
        <w:gridCol w:w="1773"/>
        <w:gridCol w:w="1485"/>
        <w:gridCol w:w="1033"/>
      </w:tblGrid>
      <w:tr w14:paraId="1CB8EF99">
        <w:tblPrEx>
          <w:tblCellMar>
            <w:top w:w="0" w:type="dxa"/>
            <w:left w:w="108" w:type="dxa"/>
            <w:bottom w:w="0" w:type="dxa"/>
            <w:right w:w="108" w:type="dxa"/>
          </w:tblCellMar>
        </w:tblPrEx>
        <w:trPr>
          <w:trHeight w:val="659" w:hRule="exact"/>
          <w:jc w:val="center"/>
        </w:trPr>
        <w:tc>
          <w:tcPr>
            <w:tcW w:w="1714" w:type="dxa"/>
            <w:tcBorders>
              <w:top w:val="single" w:color="4F81BD" w:sz="8" w:space="0"/>
              <w:left w:val="single" w:color="4F81BD" w:sz="8" w:space="0"/>
              <w:bottom w:val="single" w:color="FFFFFF" w:sz="18" w:space="0"/>
              <w:right w:val="single" w:color="4F81BD" w:sz="8" w:space="0"/>
            </w:tcBorders>
            <w:shd w:val="clear" w:color="auto" w:fill="4F81BD"/>
            <w:vAlign w:val="center"/>
          </w:tcPr>
          <w:p w14:paraId="617A79DA">
            <w:pPr>
              <w:widowControl/>
              <w:spacing w:line="360" w:lineRule="auto"/>
              <w:jc w:val="center"/>
              <w:rPr>
                <w:b/>
                <w:bCs/>
                <w:color w:val="000000"/>
                <w:sz w:val="18"/>
                <w:szCs w:val="21"/>
              </w:rPr>
            </w:pPr>
            <w:r>
              <w:rPr>
                <w:rFonts w:hint="eastAsia"/>
                <w:b/>
                <w:bCs/>
                <w:color w:val="000000"/>
                <w:sz w:val="18"/>
                <w:szCs w:val="21"/>
              </w:rPr>
              <w:t>行业名称</w:t>
            </w:r>
          </w:p>
        </w:tc>
        <w:tc>
          <w:tcPr>
            <w:tcW w:w="1426" w:type="dxa"/>
            <w:tcBorders>
              <w:top w:val="single" w:color="4F81BD" w:sz="8" w:space="0"/>
              <w:left w:val="single" w:color="4F81BD" w:sz="8" w:space="0"/>
              <w:bottom w:val="single" w:color="FFFFFF" w:sz="18" w:space="0"/>
              <w:right w:val="single" w:color="4F81BD" w:sz="8" w:space="0"/>
            </w:tcBorders>
            <w:shd w:val="clear" w:color="auto" w:fill="4F81BD"/>
            <w:vAlign w:val="center"/>
          </w:tcPr>
          <w:p w14:paraId="6B6BBE1B">
            <w:pPr>
              <w:widowControl/>
              <w:spacing w:line="360" w:lineRule="auto"/>
              <w:jc w:val="center"/>
              <w:rPr>
                <w:b/>
                <w:bCs/>
                <w:color w:val="000000"/>
                <w:sz w:val="18"/>
                <w:szCs w:val="18"/>
              </w:rPr>
            </w:pPr>
            <w:r>
              <w:rPr>
                <w:rFonts w:hint="eastAsia"/>
                <w:b/>
                <w:bCs/>
                <w:color w:val="000000"/>
                <w:sz w:val="18"/>
                <w:szCs w:val="18"/>
              </w:rPr>
              <w:t>指标名称</w:t>
            </w:r>
          </w:p>
        </w:tc>
        <w:tc>
          <w:tcPr>
            <w:tcW w:w="738" w:type="dxa"/>
            <w:tcBorders>
              <w:top w:val="single" w:color="4F81BD" w:sz="8" w:space="0"/>
              <w:left w:val="single" w:color="4F81BD" w:sz="8" w:space="0"/>
              <w:bottom w:val="single" w:color="FFFFFF" w:sz="18" w:space="0"/>
              <w:right w:val="single" w:color="4F81BD" w:sz="8" w:space="0"/>
            </w:tcBorders>
            <w:shd w:val="clear" w:color="auto" w:fill="4F81BD"/>
            <w:vAlign w:val="center"/>
          </w:tcPr>
          <w:p w14:paraId="563FE914">
            <w:pPr>
              <w:widowControl/>
              <w:spacing w:line="360" w:lineRule="auto"/>
              <w:jc w:val="center"/>
              <w:rPr>
                <w:b/>
                <w:bCs/>
                <w:color w:val="000000"/>
                <w:sz w:val="18"/>
                <w:szCs w:val="18"/>
              </w:rPr>
            </w:pPr>
            <w:r>
              <w:rPr>
                <w:rFonts w:hint="eastAsia"/>
                <w:b/>
                <w:bCs/>
                <w:color w:val="000000"/>
                <w:sz w:val="18"/>
                <w:szCs w:val="18"/>
              </w:rPr>
              <w:t>计量</w:t>
            </w:r>
          </w:p>
          <w:p w14:paraId="654E88E9">
            <w:pPr>
              <w:widowControl/>
              <w:spacing w:line="360" w:lineRule="auto"/>
              <w:jc w:val="center"/>
              <w:rPr>
                <w:b/>
                <w:bCs/>
                <w:color w:val="000000"/>
                <w:sz w:val="18"/>
                <w:szCs w:val="18"/>
              </w:rPr>
            </w:pPr>
            <w:r>
              <w:rPr>
                <w:rFonts w:hint="eastAsia"/>
                <w:b/>
                <w:bCs/>
                <w:color w:val="000000"/>
                <w:sz w:val="18"/>
                <w:szCs w:val="18"/>
              </w:rPr>
              <w:t>单位</w:t>
            </w:r>
          </w:p>
        </w:tc>
        <w:tc>
          <w:tcPr>
            <w:tcW w:w="1172" w:type="dxa"/>
            <w:tcBorders>
              <w:top w:val="single" w:color="4F81BD" w:sz="8" w:space="0"/>
              <w:left w:val="single" w:color="4F81BD" w:sz="8" w:space="0"/>
              <w:bottom w:val="single" w:color="FFFFFF" w:sz="18" w:space="0"/>
              <w:right w:val="single" w:color="4F81BD" w:sz="8" w:space="0"/>
            </w:tcBorders>
            <w:shd w:val="clear" w:color="auto" w:fill="4F81BD"/>
            <w:vAlign w:val="center"/>
          </w:tcPr>
          <w:p w14:paraId="510DF018">
            <w:pPr>
              <w:widowControl/>
              <w:spacing w:line="360" w:lineRule="auto"/>
              <w:jc w:val="center"/>
              <w:rPr>
                <w:b/>
                <w:bCs/>
                <w:color w:val="000000"/>
                <w:sz w:val="18"/>
                <w:szCs w:val="18"/>
              </w:rPr>
            </w:pPr>
            <w:r>
              <w:rPr>
                <w:rFonts w:hint="eastAsia"/>
                <w:b/>
                <w:bCs/>
                <w:color w:val="000000"/>
                <w:sz w:val="18"/>
                <w:szCs w:val="18"/>
              </w:rPr>
              <w:t>大型</w:t>
            </w:r>
          </w:p>
        </w:tc>
        <w:tc>
          <w:tcPr>
            <w:tcW w:w="1773" w:type="dxa"/>
            <w:tcBorders>
              <w:top w:val="single" w:color="4F81BD" w:sz="8" w:space="0"/>
              <w:left w:val="single" w:color="4F81BD" w:sz="8" w:space="0"/>
              <w:bottom w:val="single" w:color="FFFFFF" w:sz="18" w:space="0"/>
              <w:right w:val="single" w:color="4F81BD" w:sz="8" w:space="0"/>
            </w:tcBorders>
            <w:shd w:val="clear" w:color="auto" w:fill="4F81BD"/>
            <w:vAlign w:val="center"/>
          </w:tcPr>
          <w:p w14:paraId="188656A1">
            <w:pPr>
              <w:widowControl/>
              <w:spacing w:line="360" w:lineRule="auto"/>
              <w:jc w:val="center"/>
              <w:rPr>
                <w:b/>
                <w:bCs/>
                <w:color w:val="000000"/>
                <w:sz w:val="18"/>
                <w:szCs w:val="18"/>
              </w:rPr>
            </w:pPr>
            <w:r>
              <w:rPr>
                <w:rFonts w:hint="eastAsia"/>
                <w:b/>
                <w:bCs/>
                <w:color w:val="000000"/>
                <w:sz w:val="18"/>
                <w:szCs w:val="18"/>
              </w:rPr>
              <w:t>中型</w:t>
            </w:r>
          </w:p>
        </w:tc>
        <w:tc>
          <w:tcPr>
            <w:tcW w:w="1485" w:type="dxa"/>
            <w:tcBorders>
              <w:top w:val="single" w:color="4F81BD" w:sz="8" w:space="0"/>
              <w:left w:val="single" w:color="4F81BD" w:sz="8" w:space="0"/>
              <w:bottom w:val="single" w:color="FFFFFF" w:sz="18" w:space="0"/>
              <w:right w:val="single" w:color="4F81BD" w:sz="8" w:space="0"/>
            </w:tcBorders>
            <w:shd w:val="clear" w:color="auto" w:fill="4F81BD"/>
            <w:vAlign w:val="center"/>
          </w:tcPr>
          <w:p w14:paraId="2CB367A4">
            <w:pPr>
              <w:widowControl/>
              <w:spacing w:line="360" w:lineRule="auto"/>
              <w:jc w:val="center"/>
              <w:rPr>
                <w:b/>
                <w:bCs/>
                <w:color w:val="000000"/>
                <w:sz w:val="18"/>
                <w:szCs w:val="18"/>
              </w:rPr>
            </w:pPr>
            <w:r>
              <w:rPr>
                <w:rFonts w:hint="eastAsia"/>
                <w:b/>
                <w:bCs/>
                <w:color w:val="000000"/>
                <w:sz w:val="18"/>
                <w:szCs w:val="18"/>
              </w:rPr>
              <w:t>小型</w:t>
            </w:r>
          </w:p>
        </w:tc>
        <w:tc>
          <w:tcPr>
            <w:tcW w:w="1033" w:type="dxa"/>
            <w:tcBorders>
              <w:top w:val="single" w:color="4F81BD" w:sz="8" w:space="0"/>
              <w:left w:val="single" w:color="4F81BD" w:sz="8" w:space="0"/>
              <w:bottom w:val="single" w:color="FFFFFF" w:sz="18" w:space="0"/>
              <w:right w:val="single" w:color="4F81BD" w:sz="8" w:space="0"/>
            </w:tcBorders>
            <w:shd w:val="clear" w:color="auto" w:fill="4F81BD"/>
            <w:vAlign w:val="center"/>
          </w:tcPr>
          <w:p w14:paraId="33134C3E">
            <w:pPr>
              <w:widowControl/>
              <w:spacing w:line="360" w:lineRule="auto"/>
              <w:jc w:val="center"/>
              <w:rPr>
                <w:b/>
                <w:bCs/>
                <w:color w:val="000000"/>
                <w:sz w:val="18"/>
                <w:szCs w:val="18"/>
              </w:rPr>
            </w:pPr>
            <w:r>
              <w:rPr>
                <w:rFonts w:hint="eastAsia"/>
                <w:b/>
                <w:bCs/>
                <w:color w:val="000000"/>
                <w:sz w:val="18"/>
                <w:szCs w:val="18"/>
              </w:rPr>
              <w:t>微型</w:t>
            </w:r>
          </w:p>
        </w:tc>
      </w:tr>
      <w:tr w14:paraId="7884A09F">
        <w:tblPrEx>
          <w:tblCellMar>
            <w:top w:w="0" w:type="dxa"/>
            <w:left w:w="108" w:type="dxa"/>
            <w:bottom w:w="0" w:type="dxa"/>
            <w:right w:w="108" w:type="dxa"/>
          </w:tblCellMar>
        </w:tblPrEx>
        <w:trPr>
          <w:trHeight w:val="421" w:hRule="exact"/>
          <w:jc w:val="center"/>
        </w:trPr>
        <w:tc>
          <w:tcPr>
            <w:tcW w:w="1714" w:type="dxa"/>
            <w:tcBorders>
              <w:top w:val="single" w:color="FFFFFF" w:sz="18" w:space="0"/>
              <w:left w:val="single" w:color="4F81BD" w:sz="8" w:space="0"/>
              <w:bottom w:val="single" w:color="4F81BD" w:sz="8" w:space="0"/>
              <w:right w:val="single" w:color="4F81BD" w:sz="8" w:space="0"/>
            </w:tcBorders>
            <w:shd w:val="clear" w:color="auto" w:fill="B8CCE4"/>
            <w:vAlign w:val="center"/>
          </w:tcPr>
          <w:p w14:paraId="2ACCE1C4">
            <w:pPr>
              <w:widowControl/>
              <w:spacing w:line="360" w:lineRule="auto"/>
              <w:rPr>
                <w:color w:val="000000"/>
                <w:sz w:val="18"/>
                <w:szCs w:val="18"/>
              </w:rPr>
            </w:pPr>
            <w:r>
              <w:rPr>
                <w:rFonts w:hint="eastAsia"/>
                <w:color w:val="000000"/>
                <w:sz w:val="18"/>
                <w:szCs w:val="18"/>
              </w:rPr>
              <w:t>农、林、牧、渔业</w:t>
            </w:r>
          </w:p>
        </w:tc>
        <w:tc>
          <w:tcPr>
            <w:tcW w:w="1426" w:type="dxa"/>
            <w:tcBorders>
              <w:top w:val="single" w:color="FFFFFF" w:sz="18" w:space="0"/>
              <w:left w:val="single" w:color="4F81BD" w:sz="8" w:space="0"/>
              <w:bottom w:val="single" w:color="4F81BD" w:sz="8" w:space="0"/>
              <w:right w:val="single" w:color="4F81BD" w:sz="8" w:space="0"/>
            </w:tcBorders>
            <w:shd w:val="clear" w:color="auto" w:fill="B8CCE4"/>
            <w:vAlign w:val="center"/>
          </w:tcPr>
          <w:p w14:paraId="247D3B1B">
            <w:pPr>
              <w:widowControl/>
              <w:spacing w:line="360" w:lineRule="auto"/>
              <w:jc w:val="center"/>
              <w:rPr>
                <w:color w:val="000000"/>
                <w:sz w:val="18"/>
                <w:szCs w:val="18"/>
              </w:rPr>
            </w:pPr>
            <w:r>
              <w:rPr>
                <w:rFonts w:hint="eastAsia"/>
                <w:color w:val="000000"/>
                <w:sz w:val="18"/>
                <w:szCs w:val="18"/>
              </w:rPr>
              <w:t>营业收入(Y)</w:t>
            </w:r>
          </w:p>
        </w:tc>
        <w:tc>
          <w:tcPr>
            <w:tcW w:w="738" w:type="dxa"/>
            <w:tcBorders>
              <w:top w:val="single" w:color="FFFFFF" w:sz="18" w:space="0"/>
              <w:left w:val="single" w:color="4F81BD" w:sz="8" w:space="0"/>
              <w:bottom w:val="single" w:color="4F81BD" w:sz="8" w:space="0"/>
              <w:right w:val="single" w:color="4F81BD" w:sz="8" w:space="0"/>
            </w:tcBorders>
            <w:shd w:val="clear" w:color="auto" w:fill="B8CCE4"/>
            <w:vAlign w:val="center"/>
          </w:tcPr>
          <w:p w14:paraId="63186831">
            <w:pPr>
              <w:widowControl/>
              <w:spacing w:line="360" w:lineRule="auto"/>
              <w:jc w:val="center"/>
              <w:rPr>
                <w:color w:val="000000"/>
                <w:sz w:val="18"/>
                <w:szCs w:val="18"/>
              </w:rPr>
            </w:pPr>
            <w:r>
              <w:rPr>
                <w:rFonts w:hint="eastAsia"/>
                <w:color w:val="000000"/>
                <w:sz w:val="18"/>
                <w:szCs w:val="18"/>
              </w:rPr>
              <w:t>万元</w:t>
            </w:r>
          </w:p>
        </w:tc>
        <w:tc>
          <w:tcPr>
            <w:tcW w:w="1172" w:type="dxa"/>
            <w:tcBorders>
              <w:top w:val="single" w:color="FFFFFF" w:sz="18" w:space="0"/>
              <w:left w:val="single" w:color="4F81BD" w:sz="8" w:space="0"/>
              <w:bottom w:val="single" w:color="4F81BD" w:sz="8" w:space="0"/>
              <w:right w:val="single" w:color="4F81BD" w:sz="8" w:space="0"/>
            </w:tcBorders>
            <w:shd w:val="clear" w:color="auto" w:fill="B8CCE4"/>
            <w:vAlign w:val="center"/>
          </w:tcPr>
          <w:p w14:paraId="0FB7102C">
            <w:pPr>
              <w:widowControl/>
              <w:spacing w:line="360" w:lineRule="auto"/>
              <w:jc w:val="center"/>
              <w:rPr>
                <w:color w:val="000000"/>
                <w:sz w:val="18"/>
                <w:szCs w:val="18"/>
              </w:rPr>
            </w:pPr>
            <w:r>
              <w:rPr>
                <w:rFonts w:hint="eastAsia"/>
                <w:color w:val="000000"/>
                <w:sz w:val="18"/>
                <w:szCs w:val="18"/>
              </w:rPr>
              <w:t>Y≥20000</w:t>
            </w:r>
          </w:p>
        </w:tc>
        <w:tc>
          <w:tcPr>
            <w:tcW w:w="1773" w:type="dxa"/>
            <w:tcBorders>
              <w:top w:val="single" w:color="FFFFFF" w:sz="18" w:space="0"/>
              <w:left w:val="single" w:color="4F81BD" w:sz="8" w:space="0"/>
              <w:bottom w:val="single" w:color="4F81BD" w:sz="8" w:space="0"/>
              <w:right w:val="single" w:color="4F81BD" w:sz="8" w:space="0"/>
            </w:tcBorders>
            <w:shd w:val="clear" w:color="auto" w:fill="B8CCE4"/>
            <w:vAlign w:val="center"/>
          </w:tcPr>
          <w:p w14:paraId="6F967068">
            <w:pPr>
              <w:widowControl/>
              <w:spacing w:line="360" w:lineRule="auto"/>
              <w:jc w:val="center"/>
              <w:rPr>
                <w:color w:val="000000"/>
                <w:sz w:val="18"/>
                <w:szCs w:val="18"/>
              </w:rPr>
            </w:pPr>
            <w:r>
              <w:rPr>
                <w:rFonts w:hint="eastAsia"/>
                <w:color w:val="000000"/>
                <w:sz w:val="18"/>
                <w:szCs w:val="18"/>
              </w:rPr>
              <w:t xml:space="preserve"> 500≤Y＜20000</w:t>
            </w:r>
          </w:p>
        </w:tc>
        <w:tc>
          <w:tcPr>
            <w:tcW w:w="1485" w:type="dxa"/>
            <w:tcBorders>
              <w:top w:val="single" w:color="FFFFFF" w:sz="18" w:space="0"/>
              <w:left w:val="single" w:color="4F81BD" w:sz="8" w:space="0"/>
              <w:bottom w:val="single" w:color="4F81BD" w:sz="8" w:space="0"/>
              <w:right w:val="single" w:color="4F81BD" w:sz="8" w:space="0"/>
            </w:tcBorders>
            <w:shd w:val="clear" w:color="auto" w:fill="B8CCE4"/>
            <w:vAlign w:val="center"/>
          </w:tcPr>
          <w:p w14:paraId="63DB34A7">
            <w:pPr>
              <w:widowControl/>
              <w:spacing w:line="360" w:lineRule="auto"/>
              <w:jc w:val="center"/>
              <w:rPr>
                <w:color w:val="000000"/>
                <w:sz w:val="18"/>
                <w:szCs w:val="18"/>
              </w:rPr>
            </w:pPr>
            <w:r>
              <w:rPr>
                <w:rFonts w:hint="eastAsia"/>
                <w:color w:val="000000"/>
                <w:sz w:val="18"/>
                <w:szCs w:val="18"/>
              </w:rPr>
              <w:t xml:space="preserve"> 50≤Y＜500</w:t>
            </w:r>
          </w:p>
        </w:tc>
        <w:tc>
          <w:tcPr>
            <w:tcW w:w="1033" w:type="dxa"/>
            <w:tcBorders>
              <w:top w:val="single" w:color="FFFFFF" w:sz="18" w:space="0"/>
              <w:left w:val="single" w:color="4F81BD" w:sz="8" w:space="0"/>
              <w:bottom w:val="single" w:color="4F81BD" w:sz="8" w:space="0"/>
              <w:right w:val="single" w:color="4F81BD" w:sz="8" w:space="0"/>
            </w:tcBorders>
            <w:shd w:val="clear" w:color="auto" w:fill="B8CCE4"/>
            <w:vAlign w:val="center"/>
          </w:tcPr>
          <w:p w14:paraId="557669B9">
            <w:pPr>
              <w:widowControl/>
              <w:spacing w:line="360" w:lineRule="auto"/>
              <w:jc w:val="center"/>
              <w:rPr>
                <w:color w:val="000000"/>
                <w:sz w:val="18"/>
                <w:szCs w:val="18"/>
              </w:rPr>
            </w:pPr>
            <w:r>
              <w:rPr>
                <w:rFonts w:hint="eastAsia"/>
                <w:color w:val="000000"/>
                <w:sz w:val="18"/>
                <w:szCs w:val="18"/>
              </w:rPr>
              <w:t>Y＜50</w:t>
            </w:r>
          </w:p>
        </w:tc>
      </w:tr>
      <w:tr w14:paraId="49457F0E">
        <w:tblPrEx>
          <w:tblCellMar>
            <w:top w:w="0" w:type="dxa"/>
            <w:left w:w="108" w:type="dxa"/>
            <w:bottom w:w="0" w:type="dxa"/>
            <w:right w:w="108" w:type="dxa"/>
          </w:tblCellMar>
        </w:tblPrEx>
        <w:trPr>
          <w:trHeight w:val="421" w:hRule="exact"/>
          <w:jc w:val="center"/>
        </w:trPr>
        <w:tc>
          <w:tcPr>
            <w:tcW w:w="1714" w:type="dxa"/>
            <w:vMerge w:val="restart"/>
            <w:tcBorders>
              <w:top w:val="single" w:color="4F81BD" w:sz="8" w:space="0"/>
              <w:left w:val="single" w:color="4F81BD" w:sz="8" w:space="0"/>
              <w:bottom w:val="single" w:color="4F81BD" w:sz="8" w:space="0"/>
              <w:right w:val="single" w:color="4F81BD" w:sz="8" w:space="0"/>
            </w:tcBorders>
            <w:shd w:val="clear" w:color="auto" w:fill="FFFFFF"/>
            <w:vAlign w:val="center"/>
          </w:tcPr>
          <w:p w14:paraId="7ADCB52B">
            <w:pPr>
              <w:widowControl/>
              <w:spacing w:line="360" w:lineRule="auto"/>
              <w:jc w:val="center"/>
              <w:rPr>
                <w:color w:val="000000"/>
                <w:sz w:val="18"/>
                <w:szCs w:val="18"/>
              </w:rPr>
            </w:pPr>
            <w:r>
              <w:rPr>
                <w:rFonts w:hint="eastAsia"/>
                <w:color w:val="000000"/>
                <w:sz w:val="18"/>
                <w:szCs w:val="18"/>
              </w:rPr>
              <w:t>工业 *</w:t>
            </w:r>
          </w:p>
        </w:tc>
        <w:tc>
          <w:tcPr>
            <w:tcW w:w="1426" w:type="dxa"/>
            <w:tcBorders>
              <w:top w:val="single" w:color="4F81BD" w:sz="8" w:space="0"/>
              <w:left w:val="single" w:color="4F81BD" w:sz="8" w:space="0"/>
              <w:bottom w:val="single" w:color="4F81BD" w:sz="8" w:space="0"/>
              <w:right w:val="single" w:color="4F81BD" w:sz="8" w:space="0"/>
            </w:tcBorders>
            <w:shd w:val="clear" w:color="auto" w:fill="FFFFFF"/>
            <w:vAlign w:val="center"/>
          </w:tcPr>
          <w:p w14:paraId="1E1495C4">
            <w:pPr>
              <w:widowControl/>
              <w:spacing w:line="360" w:lineRule="auto"/>
              <w:jc w:val="center"/>
              <w:rPr>
                <w:color w:val="000000"/>
                <w:sz w:val="18"/>
                <w:szCs w:val="18"/>
              </w:rPr>
            </w:pPr>
            <w:r>
              <w:rPr>
                <w:rFonts w:hint="eastAsia"/>
                <w:color w:val="000000"/>
                <w:sz w:val="18"/>
                <w:szCs w:val="18"/>
              </w:rPr>
              <w:t>从业人员(X)</w:t>
            </w:r>
          </w:p>
        </w:tc>
        <w:tc>
          <w:tcPr>
            <w:tcW w:w="738" w:type="dxa"/>
            <w:tcBorders>
              <w:top w:val="single" w:color="4F81BD" w:sz="8" w:space="0"/>
              <w:left w:val="single" w:color="4F81BD" w:sz="8" w:space="0"/>
              <w:bottom w:val="single" w:color="4F81BD" w:sz="8" w:space="0"/>
              <w:right w:val="single" w:color="4F81BD" w:sz="8" w:space="0"/>
            </w:tcBorders>
            <w:shd w:val="clear" w:color="auto" w:fill="FFFFFF"/>
            <w:vAlign w:val="center"/>
          </w:tcPr>
          <w:p w14:paraId="31F9687D">
            <w:pPr>
              <w:widowControl/>
              <w:spacing w:line="360" w:lineRule="auto"/>
              <w:jc w:val="center"/>
              <w:rPr>
                <w:color w:val="000000"/>
                <w:sz w:val="18"/>
                <w:szCs w:val="18"/>
              </w:rPr>
            </w:pPr>
            <w:r>
              <w:rPr>
                <w:rFonts w:hint="eastAsia"/>
                <w:color w:val="000000"/>
                <w:sz w:val="18"/>
                <w:szCs w:val="18"/>
              </w:rPr>
              <w:t>人</w:t>
            </w:r>
          </w:p>
        </w:tc>
        <w:tc>
          <w:tcPr>
            <w:tcW w:w="1172" w:type="dxa"/>
            <w:tcBorders>
              <w:top w:val="single" w:color="4F81BD" w:sz="8" w:space="0"/>
              <w:left w:val="single" w:color="4F81BD" w:sz="8" w:space="0"/>
              <w:bottom w:val="single" w:color="4F81BD" w:sz="8" w:space="0"/>
              <w:right w:val="single" w:color="4F81BD" w:sz="8" w:space="0"/>
            </w:tcBorders>
            <w:shd w:val="clear" w:color="auto" w:fill="FFFFFF"/>
            <w:vAlign w:val="center"/>
          </w:tcPr>
          <w:p w14:paraId="7BD77E92">
            <w:pPr>
              <w:widowControl/>
              <w:spacing w:line="360" w:lineRule="auto"/>
              <w:jc w:val="center"/>
              <w:rPr>
                <w:color w:val="000000"/>
                <w:sz w:val="18"/>
                <w:szCs w:val="18"/>
              </w:rPr>
            </w:pPr>
            <w:r>
              <w:rPr>
                <w:rFonts w:hint="eastAsia"/>
                <w:color w:val="000000"/>
                <w:sz w:val="18"/>
                <w:szCs w:val="18"/>
              </w:rPr>
              <w:t>X≥1000</w:t>
            </w:r>
          </w:p>
        </w:tc>
        <w:tc>
          <w:tcPr>
            <w:tcW w:w="1773" w:type="dxa"/>
            <w:tcBorders>
              <w:top w:val="single" w:color="4F81BD" w:sz="8" w:space="0"/>
              <w:left w:val="single" w:color="4F81BD" w:sz="8" w:space="0"/>
              <w:bottom w:val="single" w:color="4F81BD" w:sz="8" w:space="0"/>
              <w:right w:val="single" w:color="4F81BD" w:sz="8" w:space="0"/>
            </w:tcBorders>
            <w:shd w:val="clear" w:color="auto" w:fill="FFFFFF"/>
            <w:vAlign w:val="center"/>
          </w:tcPr>
          <w:p w14:paraId="217F9136">
            <w:pPr>
              <w:widowControl/>
              <w:spacing w:line="360" w:lineRule="auto"/>
              <w:jc w:val="center"/>
              <w:rPr>
                <w:color w:val="000000"/>
                <w:sz w:val="18"/>
                <w:szCs w:val="18"/>
              </w:rPr>
            </w:pPr>
            <w:r>
              <w:rPr>
                <w:rFonts w:hint="eastAsia"/>
                <w:color w:val="000000"/>
                <w:sz w:val="18"/>
                <w:szCs w:val="18"/>
              </w:rPr>
              <w:t>300≤X＜1000</w:t>
            </w:r>
          </w:p>
        </w:tc>
        <w:tc>
          <w:tcPr>
            <w:tcW w:w="1485" w:type="dxa"/>
            <w:tcBorders>
              <w:top w:val="single" w:color="4F81BD" w:sz="8" w:space="0"/>
              <w:left w:val="single" w:color="4F81BD" w:sz="8" w:space="0"/>
              <w:bottom w:val="single" w:color="4F81BD" w:sz="8" w:space="0"/>
              <w:right w:val="single" w:color="4F81BD" w:sz="8" w:space="0"/>
            </w:tcBorders>
            <w:shd w:val="clear" w:color="auto" w:fill="FFFFFF"/>
            <w:vAlign w:val="center"/>
          </w:tcPr>
          <w:p w14:paraId="5998CFCF">
            <w:pPr>
              <w:widowControl/>
              <w:spacing w:line="360" w:lineRule="auto"/>
              <w:jc w:val="center"/>
              <w:rPr>
                <w:color w:val="000000"/>
                <w:sz w:val="18"/>
                <w:szCs w:val="18"/>
              </w:rPr>
            </w:pPr>
            <w:r>
              <w:rPr>
                <w:rFonts w:hint="eastAsia"/>
                <w:color w:val="000000"/>
                <w:sz w:val="18"/>
                <w:szCs w:val="18"/>
              </w:rPr>
              <w:t xml:space="preserve"> 20≤X＜300</w:t>
            </w:r>
          </w:p>
        </w:tc>
        <w:tc>
          <w:tcPr>
            <w:tcW w:w="1033" w:type="dxa"/>
            <w:tcBorders>
              <w:top w:val="single" w:color="4F81BD" w:sz="8" w:space="0"/>
              <w:left w:val="single" w:color="4F81BD" w:sz="8" w:space="0"/>
              <w:bottom w:val="single" w:color="4F81BD" w:sz="8" w:space="0"/>
              <w:right w:val="single" w:color="4F81BD" w:sz="8" w:space="0"/>
            </w:tcBorders>
            <w:shd w:val="clear" w:color="auto" w:fill="FFFFFF"/>
            <w:vAlign w:val="center"/>
          </w:tcPr>
          <w:p w14:paraId="183805CA">
            <w:pPr>
              <w:widowControl/>
              <w:spacing w:line="360" w:lineRule="auto"/>
              <w:jc w:val="center"/>
              <w:rPr>
                <w:color w:val="000000"/>
                <w:sz w:val="18"/>
                <w:szCs w:val="18"/>
              </w:rPr>
            </w:pPr>
            <w:r>
              <w:rPr>
                <w:rFonts w:hint="eastAsia"/>
                <w:color w:val="000000"/>
                <w:sz w:val="18"/>
                <w:szCs w:val="18"/>
              </w:rPr>
              <w:t>X＜20</w:t>
            </w:r>
          </w:p>
        </w:tc>
      </w:tr>
      <w:tr w14:paraId="7763C006">
        <w:tblPrEx>
          <w:tblCellMar>
            <w:top w:w="0" w:type="dxa"/>
            <w:left w:w="108" w:type="dxa"/>
            <w:bottom w:w="0" w:type="dxa"/>
            <w:right w:w="108" w:type="dxa"/>
          </w:tblCellMar>
        </w:tblPrEx>
        <w:trPr>
          <w:trHeight w:val="421" w:hRule="exact"/>
          <w:jc w:val="center"/>
        </w:trPr>
        <w:tc>
          <w:tcPr>
            <w:tcW w:w="1714" w:type="dxa"/>
            <w:vMerge w:val="continue"/>
            <w:tcBorders>
              <w:top w:val="single" w:color="4F81BD" w:sz="8" w:space="0"/>
              <w:left w:val="single" w:color="4F81BD" w:sz="8" w:space="0"/>
              <w:bottom w:val="single" w:color="4F81BD" w:sz="8" w:space="0"/>
              <w:right w:val="single" w:color="4F81BD" w:sz="8" w:space="0"/>
            </w:tcBorders>
            <w:shd w:val="clear" w:color="auto" w:fill="B8CCE4"/>
            <w:vAlign w:val="center"/>
          </w:tcPr>
          <w:p w14:paraId="2A26B445">
            <w:pPr>
              <w:widowControl/>
              <w:spacing w:line="360" w:lineRule="auto"/>
              <w:jc w:val="center"/>
              <w:rPr>
                <w:color w:val="000000"/>
                <w:sz w:val="18"/>
                <w:szCs w:val="18"/>
              </w:rPr>
            </w:pPr>
          </w:p>
        </w:tc>
        <w:tc>
          <w:tcPr>
            <w:tcW w:w="1426" w:type="dxa"/>
            <w:tcBorders>
              <w:top w:val="single" w:color="4F81BD" w:sz="8" w:space="0"/>
              <w:left w:val="single" w:color="4F81BD" w:sz="8" w:space="0"/>
              <w:bottom w:val="single" w:color="4F81BD" w:sz="8" w:space="0"/>
              <w:right w:val="single" w:color="4F81BD" w:sz="8" w:space="0"/>
            </w:tcBorders>
            <w:shd w:val="clear" w:color="auto" w:fill="B8CCE4"/>
            <w:vAlign w:val="center"/>
          </w:tcPr>
          <w:p w14:paraId="3E987968">
            <w:pPr>
              <w:widowControl/>
              <w:spacing w:line="360" w:lineRule="auto"/>
              <w:jc w:val="center"/>
              <w:rPr>
                <w:color w:val="000000"/>
                <w:sz w:val="18"/>
                <w:szCs w:val="18"/>
              </w:rPr>
            </w:pPr>
            <w:r>
              <w:rPr>
                <w:rFonts w:hint="eastAsia"/>
                <w:color w:val="000000"/>
                <w:sz w:val="18"/>
                <w:szCs w:val="18"/>
              </w:rPr>
              <w:t>营业收入(Y)</w:t>
            </w:r>
          </w:p>
        </w:tc>
        <w:tc>
          <w:tcPr>
            <w:tcW w:w="738" w:type="dxa"/>
            <w:tcBorders>
              <w:top w:val="single" w:color="4F81BD" w:sz="8" w:space="0"/>
              <w:left w:val="single" w:color="4F81BD" w:sz="8" w:space="0"/>
              <w:bottom w:val="single" w:color="4F81BD" w:sz="8" w:space="0"/>
              <w:right w:val="single" w:color="4F81BD" w:sz="8" w:space="0"/>
            </w:tcBorders>
            <w:shd w:val="clear" w:color="auto" w:fill="B8CCE4"/>
            <w:vAlign w:val="center"/>
          </w:tcPr>
          <w:p w14:paraId="4E0FA916">
            <w:pPr>
              <w:widowControl/>
              <w:spacing w:line="360" w:lineRule="auto"/>
              <w:jc w:val="center"/>
              <w:rPr>
                <w:color w:val="000000"/>
                <w:sz w:val="18"/>
                <w:szCs w:val="18"/>
              </w:rPr>
            </w:pPr>
            <w:r>
              <w:rPr>
                <w:rFonts w:hint="eastAsia"/>
                <w:color w:val="000000"/>
                <w:sz w:val="18"/>
                <w:szCs w:val="18"/>
              </w:rPr>
              <w:t>万元</w:t>
            </w:r>
          </w:p>
        </w:tc>
        <w:tc>
          <w:tcPr>
            <w:tcW w:w="1172" w:type="dxa"/>
            <w:tcBorders>
              <w:top w:val="single" w:color="4F81BD" w:sz="8" w:space="0"/>
              <w:left w:val="single" w:color="4F81BD" w:sz="8" w:space="0"/>
              <w:bottom w:val="single" w:color="4F81BD" w:sz="8" w:space="0"/>
              <w:right w:val="single" w:color="4F81BD" w:sz="8" w:space="0"/>
            </w:tcBorders>
            <w:shd w:val="clear" w:color="auto" w:fill="B8CCE4"/>
            <w:vAlign w:val="center"/>
          </w:tcPr>
          <w:p w14:paraId="45661373">
            <w:pPr>
              <w:widowControl/>
              <w:spacing w:line="360" w:lineRule="auto"/>
              <w:jc w:val="center"/>
              <w:rPr>
                <w:color w:val="000000"/>
                <w:sz w:val="18"/>
                <w:szCs w:val="18"/>
              </w:rPr>
            </w:pPr>
            <w:r>
              <w:rPr>
                <w:rFonts w:hint="eastAsia"/>
                <w:color w:val="000000"/>
                <w:sz w:val="18"/>
                <w:szCs w:val="18"/>
              </w:rPr>
              <w:t>Y≥40000</w:t>
            </w:r>
          </w:p>
        </w:tc>
        <w:tc>
          <w:tcPr>
            <w:tcW w:w="1773" w:type="dxa"/>
            <w:tcBorders>
              <w:top w:val="single" w:color="4F81BD" w:sz="8" w:space="0"/>
              <w:left w:val="single" w:color="4F81BD" w:sz="8" w:space="0"/>
              <w:bottom w:val="single" w:color="4F81BD" w:sz="8" w:space="0"/>
              <w:right w:val="single" w:color="4F81BD" w:sz="8" w:space="0"/>
            </w:tcBorders>
            <w:shd w:val="clear" w:color="auto" w:fill="B8CCE4"/>
            <w:vAlign w:val="center"/>
          </w:tcPr>
          <w:p w14:paraId="4F5E63CF">
            <w:pPr>
              <w:widowControl/>
              <w:spacing w:line="360" w:lineRule="auto"/>
              <w:jc w:val="center"/>
              <w:rPr>
                <w:color w:val="000000"/>
                <w:sz w:val="18"/>
                <w:szCs w:val="18"/>
              </w:rPr>
            </w:pPr>
            <w:r>
              <w:rPr>
                <w:rFonts w:hint="eastAsia"/>
                <w:color w:val="000000"/>
                <w:sz w:val="18"/>
                <w:szCs w:val="18"/>
              </w:rPr>
              <w:t>2000≤Y＜40000</w:t>
            </w:r>
          </w:p>
        </w:tc>
        <w:tc>
          <w:tcPr>
            <w:tcW w:w="1485" w:type="dxa"/>
            <w:tcBorders>
              <w:top w:val="single" w:color="4F81BD" w:sz="8" w:space="0"/>
              <w:left w:val="single" w:color="4F81BD" w:sz="8" w:space="0"/>
              <w:bottom w:val="single" w:color="4F81BD" w:sz="8" w:space="0"/>
              <w:right w:val="single" w:color="4F81BD" w:sz="8" w:space="0"/>
            </w:tcBorders>
            <w:shd w:val="clear" w:color="auto" w:fill="B8CCE4"/>
            <w:vAlign w:val="center"/>
          </w:tcPr>
          <w:p w14:paraId="7F5FAE87">
            <w:pPr>
              <w:widowControl/>
              <w:spacing w:line="360" w:lineRule="auto"/>
              <w:jc w:val="center"/>
              <w:rPr>
                <w:color w:val="000000"/>
                <w:sz w:val="18"/>
                <w:szCs w:val="18"/>
              </w:rPr>
            </w:pPr>
            <w:r>
              <w:rPr>
                <w:rFonts w:hint="eastAsia"/>
                <w:color w:val="000000"/>
                <w:sz w:val="18"/>
                <w:szCs w:val="18"/>
              </w:rPr>
              <w:t xml:space="preserve"> 300≤Y＜2000</w:t>
            </w:r>
          </w:p>
        </w:tc>
        <w:tc>
          <w:tcPr>
            <w:tcW w:w="1033" w:type="dxa"/>
            <w:tcBorders>
              <w:top w:val="single" w:color="4F81BD" w:sz="8" w:space="0"/>
              <w:left w:val="single" w:color="4F81BD" w:sz="8" w:space="0"/>
              <w:bottom w:val="single" w:color="4F81BD" w:sz="8" w:space="0"/>
              <w:right w:val="single" w:color="4F81BD" w:sz="8" w:space="0"/>
            </w:tcBorders>
            <w:shd w:val="clear" w:color="auto" w:fill="B8CCE4"/>
            <w:vAlign w:val="center"/>
          </w:tcPr>
          <w:p w14:paraId="40326642">
            <w:pPr>
              <w:widowControl/>
              <w:spacing w:line="360" w:lineRule="auto"/>
              <w:jc w:val="center"/>
              <w:rPr>
                <w:color w:val="000000"/>
                <w:sz w:val="18"/>
                <w:szCs w:val="18"/>
              </w:rPr>
            </w:pPr>
            <w:r>
              <w:rPr>
                <w:rFonts w:hint="eastAsia"/>
                <w:color w:val="000000"/>
                <w:sz w:val="18"/>
                <w:szCs w:val="18"/>
              </w:rPr>
              <w:t>Y＜300</w:t>
            </w:r>
          </w:p>
        </w:tc>
      </w:tr>
      <w:tr w14:paraId="0FBE960B">
        <w:tblPrEx>
          <w:tblCellMar>
            <w:top w:w="0" w:type="dxa"/>
            <w:left w:w="108" w:type="dxa"/>
            <w:bottom w:w="0" w:type="dxa"/>
            <w:right w:w="108" w:type="dxa"/>
          </w:tblCellMar>
        </w:tblPrEx>
        <w:trPr>
          <w:trHeight w:val="421" w:hRule="exact"/>
          <w:jc w:val="center"/>
        </w:trPr>
        <w:tc>
          <w:tcPr>
            <w:tcW w:w="1714" w:type="dxa"/>
            <w:vMerge w:val="restart"/>
            <w:tcBorders>
              <w:top w:val="single" w:color="4F81BD" w:sz="8" w:space="0"/>
              <w:left w:val="single" w:color="4F81BD" w:sz="8" w:space="0"/>
              <w:bottom w:val="single" w:color="4F81BD" w:sz="8" w:space="0"/>
              <w:right w:val="single" w:color="4F81BD" w:sz="8" w:space="0"/>
            </w:tcBorders>
            <w:shd w:val="clear" w:color="auto" w:fill="FFFFFF"/>
            <w:vAlign w:val="center"/>
          </w:tcPr>
          <w:p w14:paraId="229387BC">
            <w:pPr>
              <w:widowControl/>
              <w:spacing w:line="360" w:lineRule="auto"/>
              <w:jc w:val="center"/>
              <w:rPr>
                <w:color w:val="000000"/>
                <w:sz w:val="18"/>
                <w:szCs w:val="18"/>
              </w:rPr>
            </w:pPr>
            <w:r>
              <w:rPr>
                <w:rFonts w:hint="eastAsia"/>
                <w:color w:val="000000"/>
                <w:sz w:val="18"/>
                <w:szCs w:val="18"/>
              </w:rPr>
              <w:t>建筑业</w:t>
            </w:r>
          </w:p>
        </w:tc>
        <w:tc>
          <w:tcPr>
            <w:tcW w:w="1426" w:type="dxa"/>
            <w:tcBorders>
              <w:top w:val="single" w:color="4F81BD" w:sz="8" w:space="0"/>
              <w:left w:val="single" w:color="4F81BD" w:sz="8" w:space="0"/>
              <w:bottom w:val="single" w:color="4F81BD" w:sz="8" w:space="0"/>
              <w:right w:val="single" w:color="4F81BD" w:sz="8" w:space="0"/>
            </w:tcBorders>
            <w:shd w:val="clear" w:color="auto" w:fill="FFFFFF"/>
            <w:vAlign w:val="center"/>
          </w:tcPr>
          <w:p w14:paraId="6F577BBB">
            <w:pPr>
              <w:widowControl/>
              <w:spacing w:line="360" w:lineRule="auto"/>
              <w:jc w:val="center"/>
              <w:rPr>
                <w:color w:val="000000"/>
                <w:sz w:val="18"/>
                <w:szCs w:val="18"/>
              </w:rPr>
            </w:pPr>
            <w:r>
              <w:rPr>
                <w:rFonts w:hint="eastAsia"/>
                <w:color w:val="000000"/>
                <w:sz w:val="18"/>
                <w:szCs w:val="18"/>
              </w:rPr>
              <w:t>营业收入(Y)</w:t>
            </w:r>
          </w:p>
        </w:tc>
        <w:tc>
          <w:tcPr>
            <w:tcW w:w="738" w:type="dxa"/>
            <w:tcBorders>
              <w:top w:val="single" w:color="4F81BD" w:sz="8" w:space="0"/>
              <w:left w:val="single" w:color="4F81BD" w:sz="8" w:space="0"/>
              <w:bottom w:val="single" w:color="4F81BD" w:sz="8" w:space="0"/>
              <w:right w:val="single" w:color="4F81BD" w:sz="8" w:space="0"/>
            </w:tcBorders>
            <w:shd w:val="clear" w:color="auto" w:fill="FFFFFF"/>
            <w:vAlign w:val="center"/>
          </w:tcPr>
          <w:p w14:paraId="4A6CC995">
            <w:pPr>
              <w:widowControl/>
              <w:spacing w:line="360" w:lineRule="auto"/>
              <w:jc w:val="center"/>
              <w:rPr>
                <w:color w:val="000000"/>
                <w:sz w:val="18"/>
                <w:szCs w:val="18"/>
              </w:rPr>
            </w:pPr>
            <w:r>
              <w:rPr>
                <w:rFonts w:hint="eastAsia"/>
                <w:color w:val="000000"/>
                <w:sz w:val="18"/>
                <w:szCs w:val="18"/>
              </w:rPr>
              <w:t>万元</w:t>
            </w:r>
          </w:p>
        </w:tc>
        <w:tc>
          <w:tcPr>
            <w:tcW w:w="1172" w:type="dxa"/>
            <w:tcBorders>
              <w:top w:val="single" w:color="4F81BD" w:sz="8" w:space="0"/>
              <w:left w:val="single" w:color="4F81BD" w:sz="8" w:space="0"/>
              <w:bottom w:val="single" w:color="4F81BD" w:sz="8" w:space="0"/>
              <w:right w:val="single" w:color="4F81BD" w:sz="8" w:space="0"/>
            </w:tcBorders>
            <w:shd w:val="clear" w:color="auto" w:fill="FFFFFF"/>
            <w:vAlign w:val="center"/>
          </w:tcPr>
          <w:p w14:paraId="0038F7F2">
            <w:pPr>
              <w:widowControl/>
              <w:spacing w:line="360" w:lineRule="auto"/>
              <w:jc w:val="center"/>
              <w:rPr>
                <w:color w:val="000000"/>
                <w:sz w:val="18"/>
                <w:szCs w:val="18"/>
              </w:rPr>
            </w:pPr>
            <w:r>
              <w:rPr>
                <w:rFonts w:hint="eastAsia"/>
                <w:color w:val="000000"/>
                <w:sz w:val="18"/>
                <w:szCs w:val="18"/>
              </w:rPr>
              <w:t>Y≥80000</w:t>
            </w:r>
          </w:p>
        </w:tc>
        <w:tc>
          <w:tcPr>
            <w:tcW w:w="1773" w:type="dxa"/>
            <w:tcBorders>
              <w:top w:val="single" w:color="4F81BD" w:sz="8" w:space="0"/>
              <w:left w:val="single" w:color="4F81BD" w:sz="8" w:space="0"/>
              <w:bottom w:val="single" w:color="4F81BD" w:sz="8" w:space="0"/>
              <w:right w:val="single" w:color="4F81BD" w:sz="8" w:space="0"/>
            </w:tcBorders>
            <w:shd w:val="clear" w:color="auto" w:fill="FFFFFF"/>
            <w:vAlign w:val="center"/>
          </w:tcPr>
          <w:p w14:paraId="58C374A0">
            <w:pPr>
              <w:widowControl/>
              <w:spacing w:line="360" w:lineRule="auto"/>
              <w:jc w:val="center"/>
              <w:rPr>
                <w:color w:val="000000"/>
                <w:sz w:val="18"/>
                <w:szCs w:val="18"/>
              </w:rPr>
            </w:pPr>
            <w:r>
              <w:rPr>
                <w:rFonts w:hint="eastAsia"/>
                <w:color w:val="000000"/>
                <w:sz w:val="18"/>
                <w:szCs w:val="18"/>
              </w:rPr>
              <w:t>6000≤Y＜80000</w:t>
            </w:r>
          </w:p>
        </w:tc>
        <w:tc>
          <w:tcPr>
            <w:tcW w:w="1485" w:type="dxa"/>
            <w:tcBorders>
              <w:top w:val="single" w:color="4F81BD" w:sz="8" w:space="0"/>
              <w:left w:val="single" w:color="4F81BD" w:sz="8" w:space="0"/>
              <w:bottom w:val="single" w:color="4F81BD" w:sz="8" w:space="0"/>
              <w:right w:val="single" w:color="4F81BD" w:sz="8" w:space="0"/>
            </w:tcBorders>
            <w:shd w:val="clear" w:color="auto" w:fill="FFFFFF"/>
            <w:vAlign w:val="center"/>
          </w:tcPr>
          <w:p w14:paraId="5BA5028A">
            <w:pPr>
              <w:widowControl/>
              <w:spacing w:line="360" w:lineRule="auto"/>
              <w:jc w:val="center"/>
              <w:rPr>
                <w:color w:val="000000"/>
                <w:sz w:val="18"/>
                <w:szCs w:val="18"/>
              </w:rPr>
            </w:pPr>
            <w:r>
              <w:rPr>
                <w:rFonts w:hint="eastAsia"/>
                <w:color w:val="000000"/>
                <w:sz w:val="18"/>
                <w:szCs w:val="18"/>
              </w:rPr>
              <w:t xml:space="preserve"> 300≤Y＜6000</w:t>
            </w:r>
          </w:p>
        </w:tc>
        <w:tc>
          <w:tcPr>
            <w:tcW w:w="1033" w:type="dxa"/>
            <w:tcBorders>
              <w:top w:val="single" w:color="4F81BD" w:sz="8" w:space="0"/>
              <w:left w:val="single" w:color="4F81BD" w:sz="8" w:space="0"/>
              <w:bottom w:val="single" w:color="4F81BD" w:sz="8" w:space="0"/>
              <w:right w:val="single" w:color="4F81BD" w:sz="8" w:space="0"/>
            </w:tcBorders>
            <w:shd w:val="clear" w:color="auto" w:fill="FFFFFF"/>
            <w:vAlign w:val="center"/>
          </w:tcPr>
          <w:p w14:paraId="5345D87F">
            <w:pPr>
              <w:widowControl/>
              <w:spacing w:line="360" w:lineRule="auto"/>
              <w:jc w:val="center"/>
              <w:rPr>
                <w:color w:val="000000"/>
                <w:sz w:val="18"/>
                <w:szCs w:val="18"/>
              </w:rPr>
            </w:pPr>
            <w:r>
              <w:rPr>
                <w:rFonts w:hint="eastAsia"/>
                <w:color w:val="000000"/>
                <w:sz w:val="18"/>
                <w:szCs w:val="18"/>
              </w:rPr>
              <w:t>Y＜300</w:t>
            </w:r>
          </w:p>
        </w:tc>
      </w:tr>
      <w:tr w14:paraId="0526AEC4">
        <w:tblPrEx>
          <w:tblCellMar>
            <w:top w:w="0" w:type="dxa"/>
            <w:left w:w="108" w:type="dxa"/>
            <w:bottom w:w="0" w:type="dxa"/>
            <w:right w:w="108" w:type="dxa"/>
          </w:tblCellMar>
        </w:tblPrEx>
        <w:trPr>
          <w:trHeight w:val="421" w:hRule="exact"/>
          <w:jc w:val="center"/>
        </w:trPr>
        <w:tc>
          <w:tcPr>
            <w:tcW w:w="1714" w:type="dxa"/>
            <w:vMerge w:val="continue"/>
            <w:tcBorders>
              <w:top w:val="single" w:color="4F81BD" w:sz="8" w:space="0"/>
              <w:left w:val="single" w:color="4F81BD" w:sz="8" w:space="0"/>
              <w:bottom w:val="single" w:color="4F81BD" w:sz="8" w:space="0"/>
              <w:right w:val="single" w:color="4F81BD" w:sz="8" w:space="0"/>
            </w:tcBorders>
            <w:shd w:val="clear" w:color="auto" w:fill="B8CCE4"/>
            <w:vAlign w:val="center"/>
          </w:tcPr>
          <w:p w14:paraId="6F0F5D72">
            <w:pPr>
              <w:widowControl/>
              <w:spacing w:line="360" w:lineRule="auto"/>
              <w:jc w:val="center"/>
              <w:rPr>
                <w:color w:val="000000"/>
                <w:sz w:val="18"/>
                <w:szCs w:val="18"/>
              </w:rPr>
            </w:pPr>
          </w:p>
        </w:tc>
        <w:tc>
          <w:tcPr>
            <w:tcW w:w="1426" w:type="dxa"/>
            <w:tcBorders>
              <w:top w:val="single" w:color="4F81BD" w:sz="8" w:space="0"/>
              <w:left w:val="single" w:color="4F81BD" w:sz="8" w:space="0"/>
              <w:bottom w:val="single" w:color="4F81BD" w:sz="8" w:space="0"/>
              <w:right w:val="single" w:color="4F81BD" w:sz="8" w:space="0"/>
            </w:tcBorders>
            <w:shd w:val="clear" w:color="auto" w:fill="B8CCE4"/>
            <w:vAlign w:val="center"/>
          </w:tcPr>
          <w:p w14:paraId="3E9EC030">
            <w:pPr>
              <w:widowControl/>
              <w:spacing w:line="360" w:lineRule="auto"/>
              <w:jc w:val="center"/>
              <w:rPr>
                <w:color w:val="000000"/>
                <w:sz w:val="18"/>
                <w:szCs w:val="18"/>
              </w:rPr>
            </w:pPr>
            <w:r>
              <w:rPr>
                <w:rFonts w:hint="eastAsia"/>
                <w:color w:val="000000"/>
                <w:sz w:val="18"/>
                <w:szCs w:val="18"/>
              </w:rPr>
              <w:t>资产总额(Z)</w:t>
            </w:r>
          </w:p>
        </w:tc>
        <w:tc>
          <w:tcPr>
            <w:tcW w:w="738" w:type="dxa"/>
            <w:tcBorders>
              <w:top w:val="single" w:color="4F81BD" w:sz="8" w:space="0"/>
              <w:left w:val="single" w:color="4F81BD" w:sz="8" w:space="0"/>
              <w:bottom w:val="single" w:color="4F81BD" w:sz="8" w:space="0"/>
              <w:right w:val="single" w:color="4F81BD" w:sz="8" w:space="0"/>
            </w:tcBorders>
            <w:shd w:val="clear" w:color="auto" w:fill="B8CCE4"/>
            <w:vAlign w:val="center"/>
          </w:tcPr>
          <w:p w14:paraId="67596812">
            <w:pPr>
              <w:widowControl/>
              <w:spacing w:line="360" w:lineRule="auto"/>
              <w:jc w:val="center"/>
              <w:rPr>
                <w:color w:val="000000"/>
                <w:sz w:val="18"/>
                <w:szCs w:val="18"/>
              </w:rPr>
            </w:pPr>
            <w:r>
              <w:rPr>
                <w:rFonts w:hint="eastAsia"/>
                <w:color w:val="000000"/>
                <w:sz w:val="18"/>
                <w:szCs w:val="18"/>
              </w:rPr>
              <w:t>万元</w:t>
            </w:r>
          </w:p>
        </w:tc>
        <w:tc>
          <w:tcPr>
            <w:tcW w:w="1172" w:type="dxa"/>
            <w:tcBorders>
              <w:top w:val="single" w:color="4F81BD" w:sz="8" w:space="0"/>
              <w:left w:val="single" w:color="4F81BD" w:sz="8" w:space="0"/>
              <w:bottom w:val="single" w:color="4F81BD" w:sz="8" w:space="0"/>
              <w:right w:val="single" w:color="4F81BD" w:sz="8" w:space="0"/>
            </w:tcBorders>
            <w:shd w:val="clear" w:color="auto" w:fill="B8CCE4"/>
            <w:vAlign w:val="center"/>
          </w:tcPr>
          <w:p w14:paraId="10470C7E">
            <w:pPr>
              <w:widowControl/>
              <w:spacing w:line="360" w:lineRule="auto"/>
              <w:jc w:val="center"/>
              <w:rPr>
                <w:color w:val="000000"/>
                <w:sz w:val="18"/>
                <w:szCs w:val="18"/>
              </w:rPr>
            </w:pPr>
            <w:r>
              <w:rPr>
                <w:rFonts w:hint="eastAsia"/>
                <w:color w:val="000000"/>
                <w:sz w:val="18"/>
                <w:szCs w:val="18"/>
              </w:rPr>
              <w:t>Z≥80000</w:t>
            </w:r>
          </w:p>
        </w:tc>
        <w:tc>
          <w:tcPr>
            <w:tcW w:w="1773" w:type="dxa"/>
            <w:tcBorders>
              <w:top w:val="single" w:color="4F81BD" w:sz="8" w:space="0"/>
              <w:left w:val="single" w:color="4F81BD" w:sz="8" w:space="0"/>
              <w:bottom w:val="single" w:color="4F81BD" w:sz="8" w:space="0"/>
              <w:right w:val="single" w:color="4F81BD" w:sz="8" w:space="0"/>
            </w:tcBorders>
            <w:shd w:val="clear" w:color="auto" w:fill="B8CCE4"/>
            <w:vAlign w:val="center"/>
          </w:tcPr>
          <w:p w14:paraId="3A8B7478">
            <w:pPr>
              <w:widowControl/>
              <w:spacing w:line="360" w:lineRule="auto"/>
              <w:jc w:val="center"/>
              <w:rPr>
                <w:color w:val="000000"/>
                <w:sz w:val="18"/>
                <w:szCs w:val="18"/>
              </w:rPr>
            </w:pPr>
            <w:r>
              <w:rPr>
                <w:rFonts w:hint="eastAsia"/>
                <w:color w:val="000000"/>
                <w:sz w:val="18"/>
                <w:szCs w:val="18"/>
              </w:rPr>
              <w:t>5000≤Z＜80000</w:t>
            </w:r>
          </w:p>
        </w:tc>
        <w:tc>
          <w:tcPr>
            <w:tcW w:w="1485" w:type="dxa"/>
            <w:tcBorders>
              <w:top w:val="single" w:color="4F81BD" w:sz="8" w:space="0"/>
              <w:left w:val="single" w:color="4F81BD" w:sz="8" w:space="0"/>
              <w:bottom w:val="single" w:color="4F81BD" w:sz="8" w:space="0"/>
              <w:right w:val="single" w:color="4F81BD" w:sz="8" w:space="0"/>
            </w:tcBorders>
            <w:shd w:val="clear" w:color="auto" w:fill="B8CCE4"/>
            <w:vAlign w:val="center"/>
          </w:tcPr>
          <w:p w14:paraId="06FAC2C1">
            <w:pPr>
              <w:widowControl/>
              <w:spacing w:line="360" w:lineRule="auto"/>
              <w:jc w:val="center"/>
              <w:rPr>
                <w:color w:val="000000"/>
                <w:sz w:val="18"/>
                <w:szCs w:val="18"/>
              </w:rPr>
            </w:pPr>
            <w:r>
              <w:rPr>
                <w:rFonts w:hint="eastAsia"/>
                <w:color w:val="000000"/>
                <w:sz w:val="18"/>
                <w:szCs w:val="18"/>
              </w:rPr>
              <w:t xml:space="preserve"> 300≤Z＜5000</w:t>
            </w:r>
          </w:p>
        </w:tc>
        <w:tc>
          <w:tcPr>
            <w:tcW w:w="1033" w:type="dxa"/>
            <w:tcBorders>
              <w:top w:val="single" w:color="4F81BD" w:sz="8" w:space="0"/>
              <w:left w:val="single" w:color="4F81BD" w:sz="8" w:space="0"/>
              <w:bottom w:val="single" w:color="4F81BD" w:sz="8" w:space="0"/>
              <w:right w:val="single" w:color="4F81BD" w:sz="8" w:space="0"/>
            </w:tcBorders>
            <w:shd w:val="clear" w:color="auto" w:fill="B8CCE4"/>
            <w:vAlign w:val="center"/>
          </w:tcPr>
          <w:p w14:paraId="05AE4E64">
            <w:pPr>
              <w:widowControl/>
              <w:spacing w:line="360" w:lineRule="auto"/>
              <w:jc w:val="center"/>
              <w:rPr>
                <w:color w:val="000000"/>
                <w:sz w:val="18"/>
                <w:szCs w:val="18"/>
              </w:rPr>
            </w:pPr>
            <w:r>
              <w:rPr>
                <w:rFonts w:hint="eastAsia"/>
                <w:color w:val="000000"/>
                <w:sz w:val="18"/>
                <w:szCs w:val="18"/>
              </w:rPr>
              <w:t>Z＜300</w:t>
            </w:r>
          </w:p>
        </w:tc>
      </w:tr>
      <w:tr w14:paraId="16D8FEB4">
        <w:tblPrEx>
          <w:tblCellMar>
            <w:top w:w="0" w:type="dxa"/>
            <w:left w:w="108" w:type="dxa"/>
            <w:bottom w:w="0" w:type="dxa"/>
            <w:right w:w="108" w:type="dxa"/>
          </w:tblCellMar>
        </w:tblPrEx>
        <w:trPr>
          <w:trHeight w:val="421" w:hRule="exact"/>
          <w:jc w:val="center"/>
        </w:trPr>
        <w:tc>
          <w:tcPr>
            <w:tcW w:w="1714" w:type="dxa"/>
            <w:vMerge w:val="restart"/>
            <w:tcBorders>
              <w:top w:val="single" w:color="4F81BD" w:sz="8" w:space="0"/>
              <w:left w:val="single" w:color="4F81BD" w:sz="8" w:space="0"/>
              <w:bottom w:val="single" w:color="4F81BD" w:sz="8" w:space="0"/>
              <w:right w:val="single" w:color="4F81BD" w:sz="8" w:space="0"/>
            </w:tcBorders>
            <w:shd w:val="clear" w:color="auto" w:fill="FFFFFF"/>
            <w:vAlign w:val="center"/>
          </w:tcPr>
          <w:p w14:paraId="2D4E503A">
            <w:pPr>
              <w:widowControl/>
              <w:spacing w:line="360" w:lineRule="auto"/>
              <w:jc w:val="center"/>
              <w:rPr>
                <w:color w:val="000000"/>
                <w:sz w:val="18"/>
                <w:szCs w:val="18"/>
              </w:rPr>
            </w:pPr>
            <w:r>
              <w:rPr>
                <w:rFonts w:hint="eastAsia"/>
                <w:color w:val="000000"/>
                <w:sz w:val="18"/>
                <w:szCs w:val="18"/>
              </w:rPr>
              <w:t>批发业</w:t>
            </w:r>
          </w:p>
        </w:tc>
        <w:tc>
          <w:tcPr>
            <w:tcW w:w="1426" w:type="dxa"/>
            <w:tcBorders>
              <w:top w:val="single" w:color="4F81BD" w:sz="8" w:space="0"/>
              <w:left w:val="single" w:color="4F81BD" w:sz="8" w:space="0"/>
              <w:bottom w:val="single" w:color="4F81BD" w:sz="8" w:space="0"/>
              <w:right w:val="single" w:color="4F81BD" w:sz="8" w:space="0"/>
            </w:tcBorders>
            <w:shd w:val="clear" w:color="auto" w:fill="FFFFFF"/>
            <w:vAlign w:val="center"/>
          </w:tcPr>
          <w:p w14:paraId="712AB72F">
            <w:pPr>
              <w:widowControl/>
              <w:spacing w:line="360" w:lineRule="auto"/>
              <w:jc w:val="center"/>
              <w:rPr>
                <w:color w:val="000000"/>
                <w:sz w:val="18"/>
                <w:szCs w:val="18"/>
              </w:rPr>
            </w:pPr>
            <w:r>
              <w:rPr>
                <w:rFonts w:hint="eastAsia"/>
                <w:color w:val="000000"/>
                <w:sz w:val="18"/>
                <w:szCs w:val="18"/>
              </w:rPr>
              <w:t>从业人员(X)</w:t>
            </w:r>
          </w:p>
        </w:tc>
        <w:tc>
          <w:tcPr>
            <w:tcW w:w="738" w:type="dxa"/>
            <w:tcBorders>
              <w:top w:val="single" w:color="4F81BD" w:sz="8" w:space="0"/>
              <w:left w:val="single" w:color="4F81BD" w:sz="8" w:space="0"/>
              <w:bottom w:val="single" w:color="4F81BD" w:sz="8" w:space="0"/>
              <w:right w:val="single" w:color="4F81BD" w:sz="8" w:space="0"/>
            </w:tcBorders>
            <w:shd w:val="clear" w:color="auto" w:fill="FFFFFF"/>
            <w:vAlign w:val="center"/>
          </w:tcPr>
          <w:p w14:paraId="0DF340D5">
            <w:pPr>
              <w:widowControl/>
              <w:spacing w:line="360" w:lineRule="auto"/>
              <w:jc w:val="center"/>
              <w:rPr>
                <w:color w:val="000000"/>
                <w:sz w:val="18"/>
                <w:szCs w:val="18"/>
              </w:rPr>
            </w:pPr>
            <w:r>
              <w:rPr>
                <w:rFonts w:hint="eastAsia"/>
                <w:color w:val="000000"/>
                <w:sz w:val="18"/>
                <w:szCs w:val="18"/>
              </w:rPr>
              <w:t>人</w:t>
            </w:r>
          </w:p>
        </w:tc>
        <w:tc>
          <w:tcPr>
            <w:tcW w:w="1172" w:type="dxa"/>
            <w:tcBorders>
              <w:top w:val="single" w:color="4F81BD" w:sz="8" w:space="0"/>
              <w:left w:val="single" w:color="4F81BD" w:sz="8" w:space="0"/>
              <w:bottom w:val="single" w:color="4F81BD" w:sz="8" w:space="0"/>
              <w:right w:val="single" w:color="4F81BD" w:sz="8" w:space="0"/>
            </w:tcBorders>
            <w:shd w:val="clear" w:color="auto" w:fill="FFFFFF"/>
            <w:vAlign w:val="center"/>
          </w:tcPr>
          <w:p w14:paraId="05F36152">
            <w:pPr>
              <w:widowControl/>
              <w:spacing w:line="360" w:lineRule="auto"/>
              <w:jc w:val="center"/>
              <w:rPr>
                <w:color w:val="000000"/>
                <w:sz w:val="18"/>
                <w:szCs w:val="18"/>
              </w:rPr>
            </w:pPr>
            <w:r>
              <w:rPr>
                <w:rFonts w:hint="eastAsia"/>
                <w:color w:val="000000"/>
                <w:sz w:val="18"/>
                <w:szCs w:val="18"/>
              </w:rPr>
              <w:t>X≥200</w:t>
            </w:r>
          </w:p>
        </w:tc>
        <w:tc>
          <w:tcPr>
            <w:tcW w:w="1773" w:type="dxa"/>
            <w:tcBorders>
              <w:top w:val="single" w:color="4F81BD" w:sz="8" w:space="0"/>
              <w:left w:val="single" w:color="4F81BD" w:sz="8" w:space="0"/>
              <w:bottom w:val="single" w:color="4F81BD" w:sz="8" w:space="0"/>
              <w:right w:val="single" w:color="4F81BD" w:sz="8" w:space="0"/>
            </w:tcBorders>
            <w:shd w:val="clear" w:color="auto" w:fill="FFFFFF"/>
            <w:vAlign w:val="center"/>
          </w:tcPr>
          <w:p w14:paraId="5D2FBA5A">
            <w:pPr>
              <w:widowControl/>
              <w:spacing w:line="360" w:lineRule="auto"/>
              <w:jc w:val="center"/>
              <w:rPr>
                <w:color w:val="000000"/>
                <w:sz w:val="18"/>
                <w:szCs w:val="18"/>
              </w:rPr>
            </w:pPr>
            <w:r>
              <w:rPr>
                <w:rFonts w:hint="eastAsia"/>
                <w:color w:val="000000"/>
                <w:sz w:val="18"/>
                <w:szCs w:val="18"/>
              </w:rPr>
              <w:t>20≤X＜200</w:t>
            </w:r>
          </w:p>
        </w:tc>
        <w:tc>
          <w:tcPr>
            <w:tcW w:w="1485" w:type="dxa"/>
            <w:tcBorders>
              <w:top w:val="single" w:color="4F81BD" w:sz="8" w:space="0"/>
              <w:left w:val="single" w:color="4F81BD" w:sz="8" w:space="0"/>
              <w:bottom w:val="single" w:color="4F81BD" w:sz="8" w:space="0"/>
              <w:right w:val="single" w:color="4F81BD" w:sz="8" w:space="0"/>
            </w:tcBorders>
            <w:shd w:val="clear" w:color="auto" w:fill="FFFFFF"/>
            <w:vAlign w:val="center"/>
          </w:tcPr>
          <w:p w14:paraId="677C9EC6">
            <w:pPr>
              <w:widowControl/>
              <w:spacing w:line="360" w:lineRule="auto"/>
              <w:jc w:val="center"/>
              <w:rPr>
                <w:color w:val="000000"/>
                <w:sz w:val="18"/>
                <w:szCs w:val="18"/>
              </w:rPr>
            </w:pPr>
            <w:r>
              <w:rPr>
                <w:rFonts w:hint="eastAsia"/>
                <w:color w:val="000000"/>
                <w:sz w:val="18"/>
                <w:szCs w:val="18"/>
              </w:rPr>
              <w:t xml:space="preserve"> 5≤X＜20</w:t>
            </w:r>
          </w:p>
        </w:tc>
        <w:tc>
          <w:tcPr>
            <w:tcW w:w="1033" w:type="dxa"/>
            <w:tcBorders>
              <w:top w:val="single" w:color="4F81BD" w:sz="8" w:space="0"/>
              <w:left w:val="single" w:color="4F81BD" w:sz="8" w:space="0"/>
              <w:bottom w:val="single" w:color="4F81BD" w:sz="8" w:space="0"/>
              <w:right w:val="single" w:color="4F81BD" w:sz="8" w:space="0"/>
            </w:tcBorders>
            <w:shd w:val="clear" w:color="auto" w:fill="FFFFFF"/>
            <w:vAlign w:val="center"/>
          </w:tcPr>
          <w:p w14:paraId="7577FAB9">
            <w:pPr>
              <w:widowControl/>
              <w:spacing w:line="360" w:lineRule="auto"/>
              <w:jc w:val="center"/>
              <w:rPr>
                <w:color w:val="000000"/>
                <w:sz w:val="18"/>
                <w:szCs w:val="18"/>
              </w:rPr>
            </w:pPr>
            <w:r>
              <w:rPr>
                <w:rFonts w:hint="eastAsia"/>
                <w:color w:val="000000"/>
                <w:sz w:val="18"/>
                <w:szCs w:val="18"/>
              </w:rPr>
              <w:t>X＜5</w:t>
            </w:r>
          </w:p>
        </w:tc>
      </w:tr>
      <w:tr w14:paraId="5CDBD8F9">
        <w:tblPrEx>
          <w:tblCellMar>
            <w:top w:w="0" w:type="dxa"/>
            <w:left w:w="108" w:type="dxa"/>
            <w:bottom w:w="0" w:type="dxa"/>
            <w:right w:w="108" w:type="dxa"/>
          </w:tblCellMar>
        </w:tblPrEx>
        <w:trPr>
          <w:trHeight w:val="421" w:hRule="exact"/>
          <w:jc w:val="center"/>
        </w:trPr>
        <w:tc>
          <w:tcPr>
            <w:tcW w:w="1714" w:type="dxa"/>
            <w:vMerge w:val="continue"/>
            <w:tcBorders>
              <w:top w:val="single" w:color="4F81BD" w:sz="8" w:space="0"/>
              <w:left w:val="single" w:color="4F81BD" w:sz="8" w:space="0"/>
              <w:bottom w:val="single" w:color="4F81BD" w:sz="8" w:space="0"/>
              <w:right w:val="single" w:color="4F81BD" w:sz="8" w:space="0"/>
            </w:tcBorders>
            <w:shd w:val="clear" w:color="auto" w:fill="B8CCE4"/>
            <w:vAlign w:val="center"/>
          </w:tcPr>
          <w:p w14:paraId="494ABA50">
            <w:pPr>
              <w:widowControl/>
              <w:spacing w:line="360" w:lineRule="auto"/>
              <w:jc w:val="center"/>
              <w:rPr>
                <w:color w:val="000000"/>
                <w:sz w:val="18"/>
                <w:szCs w:val="18"/>
              </w:rPr>
            </w:pPr>
          </w:p>
        </w:tc>
        <w:tc>
          <w:tcPr>
            <w:tcW w:w="1426" w:type="dxa"/>
            <w:tcBorders>
              <w:top w:val="single" w:color="4F81BD" w:sz="8" w:space="0"/>
              <w:left w:val="single" w:color="4F81BD" w:sz="8" w:space="0"/>
              <w:bottom w:val="single" w:color="4F81BD" w:sz="8" w:space="0"/>
              <w:right w:val="single" w:color="4F81BD" w:sz="8" w:space="0"/>
            </w:tcBorders>
            <w:shd w:val="clear" w:color="auto" w:fill="B8CCE4"/>
            <w:vAlign w:val="center"/>
          </w:tcPr>
          <w:p w14:paraId="71594034">
            <w:pPr>
              <w:widowControl/>
              <w:spacing w:line="360" w:lineRule="auto"/>
              <w:jc w:val="center"/>
              <w:rPr>
                <w:color w:val="000000"/>
                <w:sz w:val="18"/>
                <w:szCs w:val="18"/>
              </w:rPr>
            </w:pPr>
            <w:r>
              <w:rPr>
                <w:rFonts w:hint="eastAsia"/>
                <w:color w:val="000000"/>
                <w:sz w:val="18"/>
                <w:szCs w:val="18"/>
              </w:rPr>
              <w:t>营业收入(Y)</w:t>
            </w:r>
          </w:p>
        </w:tc>
        <w:tc>
          <w:tcPr>
            <w:tcW w:w="738" w:type="dxa"/>
            <w:tcBorders>
              <w:top w:val="single" w:color="4F81BD" w:sz="8" w:space="0"/>
              <w:left w:val="single" w:color="4F81BD" w:sz="8" w:space="0"/>
              <w:bottom w:val="single" w:color="4F81BD" w:sz="8" w:space="0"/>
              <w:right w:val="single" w:color="4F81BD" w:sz="8" w:space="0"/>
            </w:tcBorders>
            <w:shd w:val="clear" w:color="auto" w:fill="B8CCE4"/>
            <w:vAlign w:val="center"/>
          </w:tcPr>
          <w:p w14:paraId="05803E4D">
            <w:pPr>
              <w:widowControl/>
              <w:spacing w:line="360" w:lineRule="auto"/>
              <w:jc w:val="center"/>
              <w:rPr>
                <w:color w:val="000000"/>
                <w:sz w:val="18"/>
                <w:szCs w:val="18"/>
              </w:rPr>
            </w:pPr>
            <w:r>
              <w:rPr>
                <w:rFonts w:hint="eastAsia"/>
                <w:color w:val="000000"/>
                <w:sz w:val="18"/>
                <w:szCs w:val="18"/>
              </w:rPr>
              <w:t>万元</w:t>
            </w:r>
          </w:p>
        </w:tc>
        <w:tc>
          <w:tcPr>
            <w:tcW w:w="1172" w:type="dxa"/>
            <w:tcBorders>
              <w:top w:val="single" w:color="4F81BD" w:sz="8" w:space="0"/>
              <w:left w:val="single" w:color="4F81BD" w:sz="8" w:space="0"/>
              <w:bottom w:val="single" w:color="4F81BD" w:sz="8" w:space="0"/>
              <w:right w:val="single" w:color="4F81BD" w:sz="8" w:space="0"/>
            </w:tcBorders>
            <w:shd w:val="clear" w:color="auto" w:fill="B8CCE4"/>
            <w:vAlign w:val="center"/>
          </w:tcPr>
          <w:p w14:paraId="79EE0CBB">
            <w:pPr>
              <w:widowControl/>
              <w:spacing w:line="360" w:lineRule="auto"/>
              <w:jc w:val="center"/>
              <w:rPr>
                <w:color w:val="000000"/>
                <w:sz w:val="18"/>
                <w:szCs w:val="18"/>
              </w:rPr>
            </w:pPr>
            <w:r>
              <w:rPr>
                <w:rFonts w:hint="eastAsia"/>
                <w:color w:val="000000"/>
                <w:sz w:val="18"/>
                <w:szCs w:val="18"/>
              </w:rPr>
              <w:t>Y≥40000</w:t>
            </w:r>
          </w:p>
        </w:tc>
        <w:tc>
          <w:tcPr>
            <w:tcW w:w="1773" w:type="dxa"/>
            <w:tcBorders>
              <w:top w:val="single" w:color="4F81BD" w:sz="8" w:space="0"/>
              <w:left w:val="single" w:color="4F81BD" w:sz="8" w:space="0"/>
              <w:bottom w:val="single" w:color="4F81BD" w:sz="8" w:space="0"/>
              <w:right w:val="single" w:color="4F81BD" w:sz="8" w:space="0"/>
            </w:tcBorders>
            <w:shd w:val="clear" w:color="auto" w:fill="B8CCE4"/>
            <w:vAlign w:val="center"/>
          </w:tcPr>
          <w:p w14:paraId="5DE2FFE3">
            <w:pPr>
              <w:widowControl/>
              <w:spacing w:line="360" w:lineRule="auto"/>
              <w:jc w:val="center"/>
              <w:rPr>
                <w:color w:val="000000"/>
                <w:sz w:val="18"/>
                <w:szCs w:val="18"/>
              </w:rPr>
            </w:pPr>
            <w:r>
              <w:rPr>
                <w:rFonts w:hint="eastAsia"/>
                <w:color w:val="000000"/>
                <w:sz w:val="18"/>
                <w:szCs w:val="18"/>
              </w:rPr>
              <w:t>5000≤Y＜40000</w:t>
            </w:r>
          </w:p>
        </w:tc>
        <w:tc>
          <w:tcPr>
            <w:tcW w:w="1485" w:type="dxa"/>
            <w:tcBorders>
              <w:top w:val="single" w:color="4F81BD" w:sz="8" w:space="0"/>
              <w:left w:val="single" w:color="4F81BD" w:sz="8" w:space="0"/>
              <w:bottom w:val="single" w:color="4F81BD" w:sz="8" w:space="0"/>
              <w:right w:val="single" w:color="4F81BD" w:sz="8" w:space="0"/>
            </w:tcBorders>
            <w:shd w:val="clear" w:color="auto" w:fill="B8CCE4"/>
            <w:vAlign w:val="center"/>
          </w:tcPr>
          <w:p w14:paraId="38B53EF0">
            <w:pPr>
              <w:widowControl/>
              <w:spacing w:line="360" w:lineRule="auto"/>
              <w:ind w:left="-1" w:leftChars="-1" w:hanging="1"/>
              <w:jc w:val="center"/>
              <w:rPr>
                <w:color w:val="000000"/>
                <w:sz w:val="18"/>
                <w:szCs w:val="18"/>
              </w:rPr>
            </w:pPr>
            <w:r>
              <w:rPr>
                <w:rFonts w:hint="eastAsia"/>
                <w:color w:val="000000"/>
                <w:sz w:val="18"/>
                <w:szCs w:val="18"/>
              </w:rPr>
              <w:t>1000≤Y＜5000</w:t>
            </w:r>
          </w:p>
        </w:tc>
        <w:tc>
          <w:tcPr>
            <w:tcW w:w="1033" w:type="dxa"/>
            <w:tcBorders>
              <w:top w:val="single" w:color="4F81BD" w:sz="8" w:space="0"/>
              <w:left w:val="single" w:color="4F81BD" w:sz="8" w:space="0"/>
              <w:bottom w:val="single" w:color="4F81BD" w:sz="8" w:space="0"/>
              <w:right w:val="single" w:color="4F81BD" w:sz="8" w:space="0"/>
            </w:tcBorders>
            <w:shd w:val="clear" w:color="auto" w:fill="B8CCE4"/>
            <w:vAlign w:val="center"/>
          </w:tcPr>
          <w:p w14:paraId="5FFA3474">
            <w:pPr>
              <w:widowControl/>
              <w:spacing w:line="360" w:lineRule="auto"/>
              <w:jc w:val="center"/>
              <w:rPr>
                <w:color w:val="000000"/>
                <w:sz w:val="18"/>
                <w:szCs w:val="18"/>
              </w:rPr>
            </w:pPr>
            <w:r>
              <w:rPr>
                <w:rFonts w:hint="eastAsia"/>
                <w:color w:val="000000"/>
                <w:sz w:val="18"/>
                <w:szCs w:val="18"/>
              </w:rPr>
              <w:t>Y＜1000</w:t>
            </w:r>
          </w:p>
        </w:tc>
      </w:tr>
      <w:tr w14:paraId="147F53EE">
        <w:tblPrEx>
          <w:tblCellMar>
            <w:top w:w="0" w:type="dxa"/>
            <w:left w:w="108" w:type="dxa"/>
            <w:bottom w:w="0" w:type="dxa"/>
            <w:right w:w="108" w:type="dxa"/>
          </w:tblCellMar>
        </w:tblPrEx>
        <w:trPr>
          <w:trHeight w:val="421" w:hRule="exact"/>
          <w:jc w:val="center"/>
        </w:trPr>
        <w:tc>
          <w:tcPr>
            <w:tcW w:w="1714" w:type="dxa"/>
            <w:vMerge w:val="restart"/>
            <w:tcBorders>
              <w:top w:val="single" w:color="4F81BD" w:sz="8" w:space="0"/>
              <w:left w:val="single" w:color="4F81BD" w:sz="8" w:space="0"/>
              <w:bottom w:val="single" w:color="4F81BD" w:sz="8" w:space="0"/>
              <w:right w:val="single" w:color="4F81BD" w:sz="8" w:space="0"/>
            </w:tcBorders>
            <w:shd w:val="clear" w:color="auto" w:fill="FFFFFF"/>
            <w:vAlign w:val="center"/>
          </w:tcPr>
          <w:p w14:paraId="13BD4B72">
            <w:pPr>
              <w:widowControl/>
              <w:spacing w:line="360" w:lineRule="auto"/>
              <w:jc w:val="center"/>
              <w:rPr>
                <w:color w:val="000000"/>
                <w:sz w:val="18"/>
                <w:szCs w:val="18"/>
              </w:rPr>
            </w:pPr>
            <w:r>
              <w:rPr>
                <w:rFonts w:hint="eastAsia"/>
                <w:color w:val="000000"/>
                <w:sz w:val="18"/>
                <w:szCs w:val="18"/>
              </w:rPr>
              <w:t>零售业</w:t>
            </w:r>
          </w:p>
        </w:tc>
        <w:tc>
          <w:tcPr>
            <w:tcW w:w="1426" w:type="dxa"/>
            <w:tcBorders>
              <w:top w:val="single" w:color="4F81BD" w:sz="8" w:space="0"/>
              <w:left w:val="single" w:color="4F81BD" w:sz="8" w:space="0"/>
              <w:bottom w:val="single" w:color="4F81BD" w:sz="8" w:space="0"/>
              <w:right w:val="single" w:color="4F81BD" w:sz="8" w:space="0"/>
            </w:tcBorders>
            <w:shd w:val="clear" w:color="auto" w:fill="FFFFFF"/>
            <w:vAlign w:val="center"/>
          </w:tcPr>
          <w:p w14:paraId="47CE121C">
            <w:pPr>
              <w:widowControl/>
              <w:spacing w:line="360" w:lineRule="auto"/>
              <w:jc w:val="center"/>
              <w:rPr>
                <w:color w:val="000000"/>
                <w:sz w:val="18"/>
                <w:szCs w:val="18"/>
              </w:rPr>
            </w:pPr>
            <w:r>
              <w:rPr>
                <w:rFonts w:hint="eastAsia"/>
                <w:color w:val="000000"/>
                <w:sz w:val="18"/>
                <w:szCs w:val="18"/>
              </w:rPr>
              <w:t>从业人员(X)</w:t>
            </w:r>
          </w:p>
        </w:tc>
        <w:tc>
          <w:tcPr>
            <w:tcW w:w="738" w:type="dxa"/>
            <w:tcBorders>
              <w:top w:val="single" w:color="4F81BD" w:sz="8" w:space="0"/>
              <w:left w:val="single" w:color="4F81BD" w:sz="8" w:space="0"/>
              <w:bottom w:val="single" w:color="4F81BD" w:sz="8" w:space="0"/>
              <w:right w:val="single" w:color="4F81BD" w:sz="8" w:space="0"/>
            </w:tcBorders>
            <w:shd w:val="clear" w:color="auto" w:fill="FFFFFF"/>
            <w:vAlign w:val="center"/>
          </w:tcPr>
          <w:p w14:paraId="1D0E4DD3">
            <w:pPr>
              <w:widowControl/>
              <w:spacing w:line="360" w:lineRule="auto"/>
              <w:jc w:val="center"/>
              <w:rPr>
                <w:color w:val="000000"/>
                <w:sz w:val="18"/>
                <w:szCs w:val="18"/>
              </w:rPr>
            </w:pPr>
            <w:r>
              <w:rPr>
                <w:rFonts w:hint="eastAsia"/>
                <w:color w:val="000000"/>
                <w:sz w:val="18"/>
                <w:szCs w:val="18"/>
              </w:rPr>
              <w:t>人</w:t>
            </w:r>
          </w:p>
        </w:tc>
        <w:tc>
          <w:tcPr>
            <w:tcW w:w="1172" w:type="dxa"/>
            <w:tcBorders>
              <w:top w:val="single" w:color="4F81BD" w:sz="8" w:space="0"/>
              <w:left w:val="single" w:color="4F81BD" w:sz="8" w:space="0"/>
              <w:bottom w:val="single" w:color="4F81BD" w:sz="8" w:space="0"/>
              <w:right w:val="single" w:color="4F81BD" w:sz="8" w:space="0"/>
            </w:tcBorders>
            <w:shd w:val="clear" w:color="auto" w:fill="FFFFFF"/>
            <w:vAlign w:val="center"/>
          </w:tcPr>
          <w:p w14:paraId="58FBBF69">
            <w:pPr>
              <w:widowControl/>
              <w:spacing w:line="360" w:lineRule="auto"/>
              <w:jc w:val="center"/>
              <w:rPr>
                <w:color w:val="000000"/>
                <w:sz w:val="18"/>
                <w:szCs w:val="18"/>
              </w:rPr>
            </w:pPr>
            <w:r>
              <w:rPr>
                <w:rFonts w:hint="eastAsia"/>
                <w:color w:val="000000"/>
                <w:sz w:val="18"/>
                <w:szCs w:val="18"/>
              </w:rPr>
              <w:t>X≥300</w:t>
            </w:r>
          </w:p>
        </w:tc>
        <w:tc>
          <w:tcPr>
            <w:tcW w:w="1773" w:type="dxa"/>
            <w:tcBorders>
              <w:top w:val="single" w:color="4F81BD" w:sz="8" w:space="0"/>
              <w:left w:val="single" w:color="4F81BD" w:sz="8" w:space="0"/>
              <w:bottom w:val="single" w:color="4F81BD" w:sz="8" w:space="0"/>
              <w:right w:val="single" w:color="4F81BD" w:sz="8" w:space="0"/>
            </w:tcBorders>
            <w:shd w:val="clear" w:color="auto" w:fill="FFFFFF"/>
            <w:vAlign w:val="center"/>
          </w:tcPr>
          <w:p w14:paraId="104DC872">
            <w:pPr>
              <w:widowControl/>
              <w:spacing w:line="360" w:lineRule="auto"/>
              <w:jc w:val="center"/>
              <w:rPr>
                <w:color w:val="000000"/>
                <w:sz w:val="18"/>
                <w:szCs w:val="18"/>
              </w:rPr>
            </w:pPr>
            <w:r>
              <w:rPr>
                <w:rFonts w:hint="eastAsia"/>
                <w:color w:val="000000"/>
                <w:sz w:val="18"/>
                <w:szCs w:val="18"/>
              </w:rPr>
              <w:t>50≤X＜300</w:t>
            </w:r>
          </w:p>
        </w:tc>
        <w:tc>
          <w:tcPr>
            <w:tcW w:w="1485" w:type="dxa"/>
            <w:tcBorders>
              <w:top w:val="single" w:color="4F81BD" w:sz="8" w:space="0"/>
              <w:left w:val="single" w:color="4F81BD" w:sz="8" w:space="0"/>
              <w:bottom w:val="single" w:color="4F81BD" w:sz="8" w:space="0"/>
              <w:right w:val="single" w:color="4F81BD" w:sz="8" w:space="0"/>
            </w:tcBorders>
            <w:shd w:val="clear" w:color="auto" w:fill="FFFFFF"/>
            <w:vAlign w:val="center"/>
          </w:tcPr>
          <w:p w14:paraId="297612EB">
            <w:pPr>
              <w:widowControl/>
              <w:spacing w:line="360" w:lineRule="auto"/>
              <w:ind w:left="-1" w:leftChars="-1" w:hanging="1"/>
              <w:jc w:val="center"/>
              <w:rPr>
                <w:color w:val="000000"/>
                <w:sz w:val="18"/>
                <w:szCs w:val="18"/>
              </w:rPr>
            </w:pPr>
            <w:r>
              <w:rPr>
                <w:rFonts w:hint="eastAsia"/>
                <w:color w:val="000000"/>
                <w:sz w:val="18"/>
                <w:szCs w:val="18"/>
              </w:rPr>
              <w:t xml:space="preserve">10≤X＜50 </w:t>
            </w:r>
          </w:p>
        </w:tc>
        <w:tc>
          <w:tcPr>
            <w:tcW w:w="1033" w:type="dxa"/>
            <w:tcBorders>
              <w:top w:val="single" w:color="4F81BD" w:sz="8" w:space="0"/>
              <w:left w:val="single" w:color="4F81BD" w:sz="8" w:space="0"/>
              <w:bottom w:val="single" w:color="4F81BD" w:sz="8" w:space="0"/>
              <w:right w:val="single" w:color="4F81BD" w:sz="8" w:space="0"/>
            </w:tcBorders>
            <w:shd w:val="clear" w:color="auto" w:fill="FFFFFF"/>
            <w:vAlign w:val="center"/>
          </w:tcPr>
          <w:p w14:paraId="2E9270E7">
            <w:pPr>
              <w:widowControl/>
              <w:spacing w:line="360" w:lineRule="auto"/>
              <w:jc w:val="center"/>
              <w:rPr>
                <w:color w:val="000000"/>
                <w:sz w:val="18"/>
                <w:szCs w:val="18"/>
              </w:rPr>
            </w:pPr>
            <w:r>
              <w:rPr>
                <w:rFonts w:hint="eastAsia"/>
                <w:color w:val="000000"/>
                <w:sz w:val="18"/>
                <w:szCs w:val="18"/>
              </w:rPr>
              <w:t>X＜10</w:t>
            </w:r>
          </w:p>
        </w:tc>
      </w:tr>
      <w:tr w14:paraId="1508EBE2">
        <w:tblPrEx>
          <w:tblCellMar>
            <w:top w:w="0" w:type="dxa"/>
            <w:left w:w="108" w:type="dxa"/>
            <w:bottom w:w="0" w:type="dxa"/>
            <w:right w:w="108" w:type="dxa"/>
          </w:tblCellMar>
        </w:tblPrEx>
        <w:trPr>
          <w:trHeight w:val="421" w:hRule="exact"/>
          <w:jc w:val="center"/>
        </w:trPr>
        <w:tc>
          <w:tcPr>
            <w:tcW w:w="1714" w:type="dxa"/>
            <w:vMerge w:val="continue"/>
            <w:tcBorders>
              <w:top w:val="single" w:color="4F81BD" w:sz="8" w:space="0"/>
              <w:left w:val="single" w:color="4F81BD" w:sz="8" w:space="0"/>
              <w:bottom w:val="single" w:color="4F81BD" w:sz="8" w:space="0"/>
              <w:right w:val="single" w:color="4F81BD" w:sz="8" w:space="0"/>
            </w:tcBorders>
            <w:shd w:val="clear" w:color="auto" w:fill="B8CCE4"/>
            <w:vAlign w:val="center"/>
          </w:tcPr>
          <w:p w14:paraId="50AFAF7B">
            <w:pPr>
              <w:widowControl/>
              <w:spacing w:line="360" w:lineRule="auto"/>
              <w:jc w:val="center"/>
              <w:rPr>
                <w:color w:val="000000"/>
                <w:sz w:val="18"/>
                <w:szCs w:val="18"/>
              </w:rPr>
            </w:pPr>
          </w:p>
        </w:tc>
        <w:tc>
          <w:tcPr>
            <w:tcW w:w="1426" w:type="dxa"/>
            <w:tcBorders>
              <w:top w:val="single" w:color="4F81BD" w:sz="8" w:space="0"/>
              <w:left w:val="single" w:color="4F81BD" w:sz="8" w:space="0"/>
              <w:bottom w:val="single" w:color="4F81BD" w:sz="8" w:space="0"/>
              <w:right w:val="single" w:color="4F81BD" w:sz="8" w:space="0"/>
            </w:tcBorders>
            <w:shd w:val="clear" w:color="auto" w:fill="B8CCE4"/>
            <w:vAlign w:val="center"/>
          </w:tcPr>
          <w:p w14:paraId="0E148C13">
            <w:pPr>
              <w:widowControl/>
              <w:spacing w:line="360" w:lineRule="auto"/>
              <w:jc w:val="center"/>
              <w:rPr>
                <w:color w:val="000000"/>
                <w:sz w:val="18"/>
                <w:szCs w:val="18"/>
              </w:rPr>
            </w:pPr>
            <w:r>
              <w:rPr>
                <w:rFonts w:hint="eastAsia"/>
                <w:color w:val="000000"/>
                <w:sz w:val="18"/>
                <w:szCs w:val="18"/>
              </w:rPr>
              <w:t>营业收入(Y)</w:t>
            </w:r>
          </w:p>
        </w:tc>
        <w:tc>
          <w:tcPr>
            <w:tcW w:w="738" w:type="dxa"/>
            <w:tcBorders>
              <w:top w:val="single" w:color="4F81BD" w:sz="8" w:space="0"/>
              <w:left w:val="single" w:color="4F81BD" w:sz="8" w:space="0"/>
              <w:bottom w:val="single" w:color="4F81BD" w:sz="8" w:space="0"/>
              <w:right w:val="single" w:color="4F81BD" w:sz="8" w:space="0"/>
            </w:tcBorders>
            <w:shd w:val="clear" w:color="auto" w:fill="B8CCE4"/>
            <w:vAlign w:val="center"/>
          </w:tcPr>
          <w:p w14:paraId="5CDA6201">
            <w:pPr>
              <w:widowControl/>
              <w:spacing w:line="360" w:lineRule="auto"/>
              <w:jc w:val="center"/>
              <w:rPr>
                <w:color w:val="000000"/>
                <w:sz w:val="18"/>
                <w:szCs w:val="18"/>
              </w:rPr>
            </w:pPr>
            <w:r>
              <w:rPr>
                <w:rFonts w:hint="eastAsia"/>
                <w:color w:val="000000"/>
                <w:sz w:val="18"/>
                <w:szCs w:val="18"/>
              </w:rPr>
              <w:t>万元</w:t>
            </w:r>
          </w:p>
        </w:tc>
        <w:tc>
          <w:tcPr>
            <w:tcW w:w="1172" w:type="dxa"/>
            <w:tcBorders>
              <w:top w:val="single" w:color="4F81BD" w:sz="8" w:space="0"/>
              <w:left w:val="single" w:color="4F81BD" w:sz="8" w:space="0"/>
              <w:bottom w:val="single" w:color="4F81BD" w:sz="8" w:space="0"/>
              <w:right w:val="single" w:color="4F81BD" w:sz="8" w:space="0"/>
            </w:tcBorders>
            <w:shd w:val="clear" w:color="auto" w:fill="B8CCE4"/>
            <w:vAlign w:val="center"/>
          </w:tcPr>
          <w:p w14:paraId="6789E69A">
            <w:pPr>
              <w:widowControl/>
              <w:spacing w:line="360" w:lineRule="auto"/>
              <w:jc w:val="center"/>
              <w:rPr>
                <w:color w:val="000000"/>
                <w:sz w:val="18"/>
                <w:szCs w:val="18"/>
              </w:rPr>
            </w:pPr>
            <w:r>
              <w:rPr>
                <w:rFonts w:hint="eastAsia"/>
                <w:color w:val="000000"/>
                <w:sz w:val="18"/>
                <w:szCs w:val="18"/>
              </w:rPr>
              <w:t>Y≥20000</w:t>
            </w:r>
          </w:p>
        </w:tc>
        <w:tc>
          <w:tcPr>
            <w:tcW w:w="1773" w:type="dxa"/>
            <w:tcBorders>
              <w:top w:val="single" w:color="4F81BD" w:sz="8" w:space="0"/>
              <w:left w:val="single" w:color="4F81BD" w:sz="8" w:space="0"/>
              <w:bottom w:val="single" w:color="4F81BD" w:sz="8" w:space="0"/>
              <w:right w:val="single" w:color="4F81BD" w:sz="8" w:space="0"/>
            </w:tcBorders>
            <w:shd w:val="clear" w:color="auto" w:fill="B8CCE4"/>
            <w:vAlign w:val="center"/>
          </w:tcPr>
          <w:p w14:paraId="03475380">
            <w:pPr>
              <w:widowControl/>
              <w:spacing w:line="360" w:lineRule="auto"/>
              <w:jc w:val="center"/>
              <w:rPr>
                <w:color w:val="000000"/>
                <w:sz w:val="18"/>
                <w:szCs w:val="18"/>
              </w:rPr>
            </w:pPr>
            <w:r>
              <w:rPr>
                <w:rFonts w:hint="eastAsia"/>
                <w:color w:val="000000"/>
                <w:sz w:val="18"/>
                <w:szCs w:val="18"/>
              </w:rPr>
              <w:t xml:space="preserve"> 500≤Y＜20000</w:t>
            </w:r>
          </w:p>
        </w:tc>
        <w:tc>
          <w:tcPr>
            <w:tcW w:w="1485" w:type="dxa"/>
            <w:tcBorders>
              <w:top w:val="single" w:color="4F81BD" w:sz="8" w:space="0"/>
              <w:left w:val="single" w:color="4F81BD" w:sz="8" w:space="0"/>
              <w:bottom w:val="single" w:color="4F81BD" w:sz="8" w:space="0"/>
              <w:right w:val="single" w:color="4F81BD" w:sz="8" w:space="0"/>
            </w:tcBorders>
            <w:shd w:val="clear" w:color="auto" w:fill="B8CCE4"/>
            <w:vAlign w:val="center"/>
          </w:tcPr>
          <w:p w14:paraId="645F39C2">
            <w:pPr>
              <w:widowControl/>
              <w:spacing w:line="360" w:lineRule="auto"/>
              <w:ind w:left="-1" w:leftChars="-1" w:hanging="1"/>
              <w:jc w:val="center"/>
              <w:rPr>
                <w:color w:val="000000"/>
                <w:sz w:val="18"/>
                <w:szCs w:val="18"/>
              </w:rPr>
            </w:pPr>
            <w:r>
              <w:rPr>
                <w:rFonts w:hint="eastAsia"/>
                <w:color w:val="000000"/>
                <w:sz w:val="18"/>
                <w:szCs w:val="18"/>
              </w:rPr>
              <w:t xml:space="preserve">100≤Y＜500 </w:t>
            </w:r>
          </w:p>
        </w:tc>
        <w:tc>
          <w:tcPr>
            <w:tcW w:w="1033" w:type="dxa"/>
            <w:tcBorders>
              <w:top w:val="single" w:color="4F81BD" w:sz="8" w:space="0"/>
              <w:left w:val="single" w:color="4F81BD" w:sz="8" w:space="0"/>
              <w:bottom w:val="single" w:color="4F81BD" w:sz="8" w:space="0"/>
              <w:right w:val="single" w:color="4F81BD" w:sz="8" w:space="0"/>
            </w:tcBorders>
            <w:shd w:val="clear" w:color="auto" w:fill="B8CCE4"/>
            <w:vAlign w:val="center"/>
          </w:tcPr>
          <w:p w14:paraId="01582A3D">
            <w:pPr>
              <w:widowControl/>
              <w:spacing w:line="360" w:lineRule="auto"/>
              <w:jc w:val="center"/>
              <w:rPr>
                <w:color w:val="000000"/>
                <w:sz w:val="18"/>
                <w:szCs w:val="18"/>
              </w:rPr>
            </w:pPr>
            <w:r>
              <w:rPr>
                <w:rFonts w:hint="eastAsia"/>
                <w:color w:val="000000"/>
                <w:sz w:val="18"/>
                <w:szCs w:val="18"/>
              </w:rPr>
              <w:t>Y＜100</w:t>
            </w:r>
          </w:p>
        </w:tc>
      </w:tr>
      <w:tr w14:paraId="058E79F8">
        <w:tblPrEx>
          <w:tblCellMar>
            <w:top w:w="0" w:type="dxa"/>
            <w:left w:w="108" w:type="dxa"/>
            <w:bottom w:w="0" w:type="dxa"/>
            <w:right w:w="108" w:type="dxa"/>
          </w:tblCellMar>
        </w:tblPrEx>
        <w:trPr>
          <w:trHeight w:val="421" w:hRule="exact"/>
          <w:jc w:val="center"/>
        </w:trPr>
        <w:tc>
          <w:tcPr>
            <w:tcW w:w="1714" w:type="dxa"/>
            <w:vMerge w:val="restart"/>
            <w:tcBorders>
              <w:top w:val="single" w:color="4F81BD" w:sz="8" w:space="0"/>
              <w:left w:val="single" w:color="4F81BD" w:sz="8" w:space="0"/>
              <w:bottom w:val="single" w:color="4F81BD" w:sz="8" w:space="0"/>
              <w:right w:val="single" w:color="4F81BD" w:sz="8" w:space="0"/>
            </w:tcBorders>
            <w:shd w:val="clear" w:color="auto" w:fill="FFFFFF"/>
            <w:vAlign w:val="center"/>
          </w:tcPr>
          <w:p w14:paraId="6C9DF139">
            <w:pPr>
              <w:widowControl/>
              <w:spacing w:line="360" w:lineRule="auto"/>
              <w:jc w:val="center"/>
              <w:rPr>
                <w:color w:val="000000"/>
                <w:sz w:val="18"/>
                <w:szCs w:val="18"/>
              </w:rPr>
            </w:pPr>
            <w:r>
              <w:rPr>
                <w:rFonts w:hint="eastAsia"/>
                <w:color w:val="000000"/>
                <w:sz w:val="18"/>
                <w:szCs w:val="18"/>
              </w:rPr>
              <w:t>交通运输业 *</w:t>
            </w:r>
          </w:p>
        </w:tc>
        <w:tc>
          <w:tcPr>
            <w:tcW w:w="1426" w:type="dxa"/>
            <w:tcBorders>
              <w:top w:val="single" w:color="4F81BD" w:sz="8" w:space="0"/>
              <w:left w:val="single" w:color="4F81BD" w:sz="8" w:space="0"/>
              <w:bottom w:val="single" w:color="4F81BD" w:sz="8" w:space="0"/>
              <w:right w:val="single" w:color="4F81BD" w:sz="8" w:space="0"/>
            </w:tcBorders>
            <w:shd w:val="clear" w:color="auto" w:fill="FFFFFF"/>
            <w:vAlign w:val="center"/>
          </w:tcPr>
          <w:p w14:paraId="6B6608E5">
            <w:pPr>
              <w:widowControl/>
              <w:spacing w:line="360" w:lineRule="auto"/>
              <w:jc w:val="center"/>
              <w:rPr>
                <w:color w:val="000000"/>
                <w:sz w:val="18"/>
                <w:szCs w:val="18"/>
              </w:rPr>
            </w:pPr>
            <w:r>
              <w:rPr>
                <w:rFonts w:hint="eastAsia"/>
                <w:color w:val="000000"/>
                <w:sz w:val="18"/>
                <w:szCs w:val="18"/>
              </w:rPr>
              <w:t>从业人员(X)</w:t>
            </w:r>
          </w:p>
        </w:tc>
        <w:tc>
          <w:tcPr>
            <w:tcW w:w="738" w:type="dxa"/>
            <w:tcBorders>
              <w:top w:val="single" w:color="4F81BD" w:sz="8" w:space="0"/>
              <w:left w:val="single" w:color="4F81BD" w:sz="8" w:space="0"/>
              <w:bottom w:val="single" w:color="4F81BD" w:sz="8" w:space="0"/>
              <w:right w:val="single" w:color="4F81BD" w:sz="8" w:space="0"/>
            </w:tcBorders>
            <w:shd w:val="clear" w:color="auto" w:fill="FFFFFF"/>
            <w:vAlign w:val="center"/>
          </w:tcPr>
          <w:p w14:paraId="1410F94A">
            <w:pPr>
              <w:widowControl/>
              <w:spacing w:line="360" w:lineRule="auto"/>
              <w:jc w:val="center"/>
              <w:rPr>
                <w:color w:val="000000"/>
                <w:sz w:val="18"/>
                <w:szCs w:val="18"/>
              </w:rPr>
            </w:pPr>
            <w:r>
              <w:rPr>
                <w:rFonts w:hint="eastAsia"/>
                <w:color w:val="000000"/>
                <w:sz w:val="18"/>
                <w:szCs w:val="18"/>
              </w:rPr>
              <w:t>人</w:t>
            </w:r>
          </w:p>
        </w:tc>
        <w:tc>
          <w:tcPr>
            <w:tcW w:w="1172" w:type="dxa"/>
            <w:tcBorders>
              <w:top w:val="single" w:color="4F81BD" w:sz="8" w:space="0"/>
              <w:left w:val="single" w:color="4F81BD" w:sz="8" w:space="0"/>
              <w:bottom w:val="single" w:color="4F81BD" w:sz="8" w:space="0"/>
              <w:right w:val="single" w:color="4F81BD" w:sz="8" w:space="0"/>
            </w:tcBorders>
            <w:shd w:val="clear" w:color="auto" w:fill="FFFFFF"/>
            <w:vAlign w:val="center"/>
          </w:tcPr>
          <w:p w14:paraId="0E4299BE">
            <w:pPr>
              <w:widowControl/>
              <w:spacing w:line="360" w:lineRule="auto"/>
              <w:jc w:val="center"/>
              <w:rPr>
                <w:color w:val="000000"/>
                <w:sz w:val="18"/>
                <w:szCs w:val="18"/>
              </w:rPr>
            </w:pPr>
            <w:r>
              <w:rPr>
                <w:rFonts w:hint="eastAsia"/>
                <w:color w:val="000000"/>
                <w:sz w:val="18"/>
                <w:szCs w:val="18"/>
              </w:rPr>
              <w:t>X≥1000</w:t>
            </w:r>
          </w:p>
        </w:tc>
        <w:tc>
          <w:tcPr>
            <w:tcW w:w="1773" w:type="dxa"/>
            <w:tcBorders>
              <w:top w:val="single" w:color="4F81BD" w:sz="8" w:space="0"/>
              <w:left w:val="single" w:color="4F81BD" w:sz="8" w:space="0"/>
              <w:bottom w:val="single" w:color="4F81BD" w:sz="8" w:space="0"/>
              <w:right w:val="single" w:color="4F81BD" w:sz="8" w:space="0"/>
            </w:tcBorders>
            <w:shd w:val="clear" w:color="auto" w:fill="FFFFFF"/>
            <w:vAlign w:val="center"/>
          </w:tcPr>
          <w:p w14:paraId="4434122E">
            <w:pPr>
              <w:widowControl/>
              <w:spacing w:line="360" w:lineRule="auto"/>
              <w:jc w:val="center"/>
              <w:rPr>
                <w:color w:val="000000"/>
                <w:sz w:val="18"/>
                <w:szCs w:val="18"/>
              </w:rPr>
            </w:pPr>
            <w:r>
              <w:rPr>
                <w:rFonts w:hint="eastAsia"/>
                <w:color w:val="000000"/>
                <w:sz w:val="18"/>
                <w:szCs w:val="18"/>
              </w:rPr>
              <w:t>300≤X＜1000</w:t>
            </w:r>
          </w:p>
        </w:tc>
        <w:tc>
          <w:tcPr>
            <w:tcW w:w="1485" w:type="dxa"/>
            <w:tcBorders>
              <w:top w:val="single" w:color="4F81BD" w:sz="8" w:space="0"/>
              <w:left w:val="single" w:color="4F81BD" w:sz="8" w:space="0"/>
              <w:bottom w:val="single" w:color="4F81BD" w:sz="8" w:space="0"/>
              <w:right w:val="single" w:color="4F81BD" w:sz="8" w:space="0"/>
            </w:tcBorders>
            <w:shd w:val="clear" w:color="auto" w:fill="FFFFFF"/>
            <w:vAlign w:val="center"/>
          </w:tcPr>
          <w:p w14:paraId="582AAE63">
            <w:pPr>
              <w:widowControl/>
              <w:spacing w:line="360" w:lineRule="auto"/>
              <w:jc w:val="center"/>
              <w:rPr>
                <w:color w:val="000000"/>
                <w:sz w:val="18"/>
                <w:szCs w:val="18"/>
              </w:rPr>
            </w:pPr>
            <w:r>
              <w:rPr>
                <w:rFonts w:hint="eastAsia"/>
                <w:color w:val="000000"/>
                <w:sz w:val="18"/>
                <w:szCs w:val="18"/>
              </w:rPr>
              <w:t xml:space="preserve"> 20≤X＜300</w:t>
            </w:r>
          </w:p>
        </w:tc>
        <w:tc>
          <w:tcPr>
            <w:tcW w:w="1033" w:type="dxa"/>
            <w:tcBorders>
              <w:top w:val="single" w:color="4F81BD" w:sz="8" w:space="0"/>
              <w:left w:val="single" w:color="4F81BD" w:sz="8" w:space="0"/>
              <w:bottom w:val="single" w:color="4F81BD" w:sz="8" w:space="0"/>
              <w:right w:val="single" w:color="4F81BD" w:sz="8" w:space="0"/>
            </w:tcBorders>
            <w:shd w:val="clear" w:color="auto" w:fill="FFFFFF"/>
            <w:vAlign w:val="center"/>
          </w:tcPr>
          <w:p w14:paraId="3429421B">
            <w:pPr>
              <w:widowControl/>
              <w:spacing w:line="360" w:lineRule="auto"/>
              <w:jc w:val="center"/>
              <w:rPr>
                <w:color w:val="000000"/>
                <w:sz w:val="18"/>
                <w:szCs w:val="18"/>
              </w:rPr>
            </w:pPr>
            <w:r>
              <w:rPr>
                <w:rFonts w:hint="eastAsia"/>
                <w:color w:val="000000"/>
                <w:sz w:val="18"/>
                <w:szCs w:val="18"/>
              </w:rPr>
              <w:t>X＜20</w:t>
            </w:r>
          </w:p>
        </w:tc>
      </w:tr>
      <w:tr w14:paraId="171FFA2F">
        <w:tblPrEx>
          <w:tblCellMar>
            <w:top w:w="0" w:type="dxa"/>
            <w:left w:w="108" w:type="dxa"/>
            <w:bottom w:w="0" w:type="dxa"/>
            <w:right w:w="108" w:type="dxa"/>
          </w:tblCellMar>
        </w:tblPrEx>
        <w:trPr>
          <w:trHeight w:val="421" w:hRule="exact"/>
          <w:jc w:val="center"/>
        </w:trPr>
        <w:tc>
          <w:tcPr>
            <w:tcW w:w="1714" w:type="dxa"/>
            <w:vMerge w:val="continue"/>
            <w:tcBorders>
              <w:top w:val="single" w:color="4F81BD" w:sz="8" w:space="0"/>
              <w:left w:val="single" w:color="4F81BD" w:sz="8" w:space="0"/>
              <w:bottom w:val="single" w:color="4F81BD" w:sz="8" w:space="0"/>
              <w:right w:val="single" w:color="4F81BD" w:sz="8" w:space="0"/>
            </w:tcBorders>
            <w:shd w:val="clear" w:color="auto" w:fill="B8CCE4"/>
            <w:vAlign w:val="center"/>
          </w:tcPr>
          <w:p w14:paraId="4981F762">
            <w:pPr>
              <w:widowControl/>
              <w:spacing w:line="360" w:lineRule="auto"/>
              <w:jc w:val="center"/>
              <w:rPr>
                <w:color w:val="000000"/>
                <w:sz w:val="18"/>
                <w:szCs w:val="18"/>
              </w:rPr>
            </w:pPr>
          </w:p>
        </w:tc>
        <w:tc>
          <w:tcPr>
            <w:tcW w:w="1426" w:type="dxa"/>
            <w:tcBorders>
              <w:top w:val="single" w:color="4F81BD" w:sz="8" w:space="0"/>
              <w:left w:val="single" w:color="4F81BD" w:sz="8" w:space="0"/>
              <w:bottom w:val="single" w:color="4F81BD" w:sz="8" w:space="0"/>
              <w:right w:val="single" w:color="4F81BD" w:sz="8" w:space="0"/>
            </w:tcBorders>
            <w:shd w:val="clear" w:color="auto" w:fill="B8CCE4"/>
            <w:vAlign w:val="center"/>
          </w:tcPr>
          <w:p w14:paraId="16BCF411">
            <w:pPr>
              <w:widowControl/>
              <w:spacing w:line="360" w:lineRule="auto"/>
              <w:jc w:val="center"/>
              <w:rPr>
                <w:color w:val="000000"/>
                <w:sz w:val="18"/>
                <w:szCs w:val="18"/>
              </w:rPr>
            </w:pPr>
            <w:r>
              <w:rPr>
                <w:rFonts w:hint="eastAsia"/>
                <w:color w:val="000000"/>
                <w:sz w:val="18"/>
                <w:szCs w:val="18"/>
              </w:rPr>
              <w:t>营业收入(Y)</w:t>
            </w:r>
          </w:p>
        </w:tc>
        <w:tc>
          <w:tcPr>
            <w:tcW w:w="738" w:type="dxa"/>
            <w:tcBorders>
              <w:top w:val="single" w:color="4F81BD" w:sz="8" w:space="0"/>
              <w:left w:val="single" w:color="4F81BD" w:sz="8" w:space="0"/>
              <w:bottom w:val="single" w:color="4F81BD" w:sz="8" w:space="0"/>
              <w:right w:val="single" w:color="4F81BD" w:sz="8" w:space="0"/>
            </w:tcBorders>
            <w:shd w:val="clear" w:color="auto" w:fill="B8CCE4"/>
            <w:vAlign w:val="center"/>
          </w:tcPr>
          <w:p w14:paraId="0463A77A">
            <w:pPr>
              <w:widowControl/>
              <w:spacing w:line="360" w:lineRule="auto"/>
              <w:jc w:val="center"/>
              <w:rPr>
                <w:color w:val="000000"/>
                <w:sz w:val="18"/>
                <w:szCs w:val="18"/>
              </w:rPr>
            </w:pPr>
            <w:r>
              <w:rPr>
                <w:rFonts w:hint="eastAsia"/>
                <w:color w:val="000000"/>
                <w:sz w:val="18"/>
                <w:szCs w:val="18"/>
              </w:rPr>
              <w:t>万元</w:t>
            </w:r>
          </w:p>
        </w:tc>
        <w:tc>
          <w:tcPr>
            <w:tcW w:w="1172" w:type="dxa"/>
            <w:tcBorders>
              <w:top w:val="single" w:color="4F81BD" w:sz="8" w:space="0"/>
              <w:left w:val="single" w:color="4F81BD" w:sz="8" w:space="0"/>
              <w:bottom w:val="single" w:color="4F81BD" w:sz="8" w:space="0"/>
              <w:right w:val="single" w:color="4F81BD" w:sz="8" w:space="0"/>
            </w:tcBorders>
            <w:shd w:val="clear" w:color="auto" w:fill="B8CCE4"/>
            <w:vAlign w:val="center"/>
          </w:tcPr>
          <w:p w14:paraId="628A86AA">
            <w:pPr>
              <w:widowControl/>
              <w:spacing w:line="360" w:lineRule="auto"/>
              <w:jc w:val="center"/>
              <w:rPr>
                <w:color w:val="000000"/>
                <w:sz w:val="18"/>
                <w:szCs w:val="18"/>
              </w:rPr>
            </w:pPr>
            <w:r>
              <w:rPr>
                <w:rFonts w:hint="eastAsia"/>
                <w:color w:val="000000"/>
                <w:sz w:val="18"/>
                <w:szCs w:val="18"/>
              </w:rPr>
              <w:t>Y≥30000</w:t>
            </w:r>
          </w:p>
        </w:tc>
        <w:tc>
          <w:tcPr>
            <w:tcW w:w="1773" w:type="dxa"/>
            <w:tcBorders>
              <w:top w:val="single" w:color="4F81BD" w:sz="8" w:space="0"/>
              <w:left w:val="single" w:color="4F81BD" w:sz="8" w:space="0"/>
              <w:bottom w:val="single" w:color="4F81BD" w:sz="8" w:space="0"/>
              <w:right w:val="single" w:color="4F81BD" w:sz="8" w:space="0"/>
            </w:tcBorders>
            <w:shd w:val="clear" w:color="auto" w:fill="B8CCE4"/>
            <w:vAlign w:val="center"/>
          </w:tcPr>
          <w:p w14:paraId="4C2314EC">
            <w:pPr>
              <w:widowControl/>
              <w:spacing w:line="360" w:lineRule="auto"/>
              <w:jc w:val="center"/>
              <w:rPr>
                <w:color w:val="000000"/>
                <w:sz w:val="18"/>
                <w:szCs w:val="18"/>
              </w:rPr>
            </w:pPr>
            <w:r>
              <w:rPr>
                <w:rFonts w:hint="eastAsia"/>
                <w:color w:val="000000"/>
                <w:sz w:val="18"/>
                <w:szCs w:val="18"/>
              </w:rPr>
              <w:t>3000≤Y＜30000</w:t>
            </w:r>
          </w:p>
        </w:tc>
        <w:tc>
          <w:tcPr>
            <w:tcW w:w="1485" w:type="dxa"/>
            <w:tcBorders>
              <w:top w:val="single" w:color="4F81BD" w:sz="8" w:space="0"/>
              <w:left w:val="single" w:color="4F81BD" w:sz="8" w:space="0"/>
              <w:bottom w:val="single" w:color="4F81BD" w:sz="8" w:space="0"/>
              <w:right w:val="single" w:color="4F81BD" w:sz="8" w:space="0"/>
            </w:tcBorders>
            <w:shd w:val="clear" w:color="auto" w:fill="B8CCE4"/>
            <w:vAlign w:val="center"/>
          </w:tcPr>
          <w:p w14:paraId="245A6EC8">
            <w:pPr>
              <w:widowControl/>
              <w:spacing w:line="360" w:lineRule="auto"/>
              <w:jc w:val="center"/>
              <w:rPr>
                <w:color w:val="000000"/>
                <w:sz w:val="18"/>
                <w:szCs w:val="18"/>
              </w:rPr>
            </w:pPr>
            <w:r>
              <w:rPr>
                <w:rFonts w:hint="eastAsia"/>
                <w:color w:val="000000"/>
                <w:sz w:val="18"/>
                <w:szCs w:val="18"/>
              </w:rPr>
              <w:t xml:space="preserve"> 200≤Y＜3000</w:t>
            </w:r>
          </w:p>
        </w:tc>
        <w:tc>
          <w:tcPr>
            <w:tcW w:w="1033" w:type="dxa"/>
            <w:tcBorders>
              <w:top w:val="single" w:color="4F81BD" w:sz="8" w:space="0"/>
              <w:left w:val="single" w:color="4F81BD" w:sz="8" w:space="0"/>
              <w:bottom w:val="single" w:color="4F81BD" w:sz="8" w:space="0"/>
              <w:right w:val="single" w:color="4F81BD" w:sz="8" w:space="0"/>
            </w:tcBorders>
            <w:shd w:val="clear" w:color="auto" w:fill="B8CCE4"/>
            <w:vAlign w:val="center"/>
          </w:tcPr>
          <w:p w14:paraId="50B83975">
            <w:pPr>
              <w:widowControl/>
              <w:spacing w:line="360" w:lineRule="auto"/>
              <w:jc w:val="center"/>
              <w:rPr>
                <w:color w:val="000000"/>
                <w:sz w:val="18"/>
                <w:szCs w:val="18"/>
              </w:rPr>
            </w:pPr>
            <w:r>
              <w:rPr>
                <w:rFonts w:hint="eastAsia"/>
                <w:color w:val="000000"/>
                <w:sz w:val="18"/>
                <w:szCs w:val="18"/>
              </w:rPr>
              <w:t>Y＜200</w:t>
            </w:r>
          </w:p>
        </w:tc>
      </w:tr>
      <w:tr w14:paraId="0707F0B5">
        <w:tblPrEx>
          <w:tblCellMar>
            <w:top w:w="0" w:type="dxa"/>
            <w:left w:w="108" w:type="dxa"/>
            <w:bottom w:w="0" w:type="dxa"/>
            <w:right w:w="108" w:type="dxa"/>
          </w:tblCellMar>
        </w:tblPrEx>
        <w:trPr>
          <w:trHeight w:val="421" w:hRule="exact"/>
          <w:jc w:val="center"/>
        </w:trPr>
        <w:tc>
          <w:tcPr>
            <w:tcW w:w="1714" w:type="dxa"/>
            <w:vMerge w:val="restart"/>
            <w:tcBorders>
              <w:top w:val="single" w:color="4F81BD" w:sz="8" w:space="0"/>
              <w:left w:val="single" w:color="4F81BD" w:sz="8" w:space="0"/>
              <w:bottom w:val="single" w:color="4F81BD" w:sz="8" w:space="0"/>
              <w:right w:val="single" w:color="4F81BD" w:sz="8" w:space="0"/>
            </w:tcBorders>
            <w:shd w:val="clear" w:color="auto" w:fill="FFFFFF"/>
            <w:vAlign w:val="center"/>
          </w:tcPr>
          <w:p w14:paraId="146898F8">
            <w:pPr>
              <w:widowControl/>
              <w:spacing w:line="360" w:lineRule="auto"/>
              <w:jc w:val="center"/>
              <w:rPr>
                <w:color w:val="000000"/>
                <w:sz w:val="18"/>
                <w:szCs w:val="18"/>
              </w:rPr>
            </w:pPr>
            <w:r>
              <w:rPr>
                <w:rFonts w:hint="eastAsia"/>
                <w:color w:val="000000"/>
                <w:sz w:val="18"/>
                <w:szCs w:val="18"/>
              </w:rPr>
              <w:t>仓储业*</w:t>
            </w:r>
          </w:p>
        </w:tc>
        <w:tc>
          <w:tcPr>
            <w:tcW w:w="1426" w:type="dxa"/>
            <w:tcBorders>
              <w:top w:val="single" w:color="4F81BD" w:sz="8" w:space="0"/>
              <w:left w:val="single" w:color="4F81BD" w:sz="8" w:space="0"/>
              <w:bottom w:val="single" w:color="4F81BD" w:sz="8" w:space="0"/>
              <w:right w:val="single" w:color="4F81BD" w:sz="8" w:space="0"/>
            </w:tcBorders>
            <w:shd w:val="clear" w:color="auto" w:fill="FFFFFF"/>
            <w:vAlign w:val="center"/>
          </w:tcPr>
          <w:p w14:paraId="3DFF2E44">
            <w:pPr>
              <w:widowControl/>
              <w:spacing w:line="360" w:lineRule="auto"/>
              <w:jc w:val="center"/>
              <w:rPr>
                <w:color w:val="000000"/>
                <w:sz w:val="18"/>
                <w:szCs w:val="18"/>
              </w:rPr>
            </w:pPr>
            <w:r>
              <w:rPr>
                <w:rFonts w:hint="eastAsia"/>
                <w:color w:val="000000"/>
                <w:sz w:val="18"/>
                <w:szCs w:val="18"/>
              </w:rPr>
              <w:t>从业人员(X)</w:t>
            </w:r>
          </w:p>
        </w:tc>
        <w:tc>
          <w:tcPr>
            <w:tcW w:w="738" w:type="dxa"/>
            <w:tcBorders>
              <w:top w:val="single" w:color="4F81BD" w:sz="8" w:space="0"/>
              <w:left w:val="single" w:color="4F81BD" w:sz="8" w:space="0"/>
              <w:bottom w:val="single" w:color="4F81BD" w:sz="8" w:space="0"/>
              <w:right w:val="single" w:color="4F81BD" w:sz="8" w:space="0"/>
            </w:tcBorders>
            <w:shd w:val="clear" w:color="auto" w:fill="FFFFFF"/>
            <w:vAlign w:val="center"/>
          </w:tcPr>
          <w:p w14:paraId="6E0B96A4">
            <w:pPr>
              <w:widowControl/>
              <w:spacing w:line="360" w:lineRule="auto"/>
              <w:jc w:val="center"/>
              <w:rPr>
                <w:color w:val="000000"/>
                <w:sz w:val="18"/>
                <w:szCs w:val="18"/>
              </w:rPr>
            </w:pPr>
            <w:r>
              <w:rPr>
                <w:rFonts w:hint="eastAsia"/>
                <w:color w:val="000000"/>
                <w:sz w:val="18"/>
                <w:szCs w:val="18"/>
              </w:rPr>
              <w:t>人</w:t>
            </w:r>
          </w:p>
        </w:tc>
        <w:tc>
          <w:tcPr>
            <w:tcW w:w="1172" w:type="dxa"/>
            <w:tcBorders>
              <w:top w:val="single" w:color="4F81BD" w:sz="8" w:space="0"/>
              <w:left w:val="single" w:color="4F81BD" w:sz="8" w:space="0"/>
              <w:bottom w:val="single" w:color="4F81BD" w:sz="8" w:space="0"/>
              <w:right w:val="single" w:color="4F81BD" w:sz="8" w:space="0"/>
            </w:tcBorders>
            <w:shd w:val="clear" w:color="auto" w:fill="FFFFFF"/>
            <w:vAlign w:val="center"/>
          </w:tcPr>
          <w:p w14:paraId="6017776F">
            <w:pPr>
              <w:widowControl/>
              <w:spacing w:line="360" w:lineRule="auto"/>
              <w:jc w:val="center"/>
              <w:rPr>
                <w:color w:val="000000"/>
                <w:sz w:val="18"/>
                <w:szCs w:val="18"/>
              </w:rPr>
            </w:pPr>
            <w:r>
              <w:rPr>
                <w:rFonts w:hint="eastAsia"/>
                <w:color w:val="000000"/>
                <w:sz w:val="18"/>
                <w:szCs w:val="18"/>
              </w:rPr>
              <w:t>X≥200</w:t>
            </w:r>
          </w:p>
        </w:tc>
        <w:tc>
          <w:tcPr>
            <w:tcW w:w="1773" w:type="dxa"/>
            <w:tcBorders>
              <w:top w:val="single" w:color="4F81BD" w:sz="8" w:space="0"/>
              <w:left w:val="single" w:color="4F81BD" w:sz="8" w:space="0"/>
              <w:bottom w:val="single" w:color="4F81BD" w:sz="8" w:space="0"/>
              <w:right w:val="single" w:color="4F81BD" w:sz="8" w:space="0"/>
            </w:tcBorders>
            <w:shd w:val="clear" w:color="auto" w:fill="FFFFFF"/>
            <w:vAlign w:val="center"/>
          </w:tcPr>
          <w:p w14:paraId="7C262CA9">
            <w:pPr>
              <w:widowControl/>
              <w:spacing w:line="360" w:lineRule="auto"/>
              <w:ind w:left="-4" w:leftChars="-51" w:hanging="108" w:hangingChars="60"/>
              <w:jc w:val="center"/>
              <w:rPr>
                <w:color w:val="000000"/>
                <w:sz w:val="18"/>
                <w:szCs w:val="18"/>
              </w:rPr>
            </w:pPr>
            <w:r>
              <w:rPr>
                <w:rFonts w:hint="eastAsia"/>
                <w:color w:val="000000"/>
                <w:sz w:val="18"/>
                <w:szCs w:val="18"/>
              </w:rPr>
              <w:t>100≤X＜200</w:t>
            </w:r>
          </w:p>
        </w:tc>
        <w:tc>
          <w:tcPr>
            <w:tcW w:w="1485" w:type="dxa"/>
            <w:tcBorders>
              <w:top w:val="single" w:color="4F81BD" w:sz="8" w:space="0"/>
              <w:left w:val="single" w:color="4F81BD" w:sz="8" w:space="0"/>
              <w:bottom w:val="single" w:color="4F81BD" w:sz="8" w:space="0"/>
              <w:right w:val="single" w:color="4F81BD" w:sz="8" w:space="0"/>
            </w:tcBorders>
            <w:shd w:val="clear" w:color="auto" w:fill="FFFFFF"/>
            <w:vAlign w:val="center"/>
          </w:tcPr>
          <w:p w14:paraId="77F37321">
            <w:pPr>
              <w:widowControl/>
              <w:spacing w:line="360" w:lineRule="auto"/>
              <w:jc w:val="center"/>
              <w:rPr>
                <w:color w:val="000000"/>
                <w:sz w:val="18"/>
                <w:szCs w:val="18"/>
              </w:rPr>
            </w:pPr>
            <w:r>
              <w:rPr>
                <w:rFonts w:hint="eastAsia"/>
                <w:color w:val="000000"/>
                <w:sz w:val="18"/>
                <w:szCs w:val="18"/>
              </w:rPr>
              <w:t xml:space="preserve"> 20≤X＜100</w:t>
            </w:r>
          </w:p>
        </w:tc>
        <w:tc>
          <w:tcPr>
            <w:tcW w:w="1033" w:type="dxa"/>
            <w:tcBorders>
              <w:top w:val="single" w:color="4F81BD" w:sz="8" w:space="0"/>
              <w:left w:val="single" w:color="4F81BD" w:sz="8" w:space="0"/>
              <w:bottom w:val="single" w:color="4F81BD" w:sz="8" w:space="0"/>
              <w:right w:val="single" w:color="4F81BD" w:sz="8" w:space="0"/>
            </w:tcBorders>
            <w:shd w:val="clear" w:color="auto" w:fill="FFFFFF"/>
            <w:vAlign w:val="center"/>
          </w:tcPr>
          <w:p w14:paraId="214F9B23">
            <w:pPr>
              <w:widowControl/>
              <w:spacing w:line="360" w:lineRule="auto"/>
              <w:jc w:val="center"/>
              <w:rPr>
                <w:color w:val="000000"/>
                <w:sz w:val="18"/>
                <w:szCs w:val="18"/>
              </w:rPr>
            </w:pPr>
            <w:r>
              <w:rPr>
                <w:rFonts w:hint="eastAsia"/>
                <w:color w:val="000000"/>
                <w:sz w:val="18"/>
                <w:szCs w:val="18"/>
              </w:rPr>
              <w:t>X＜20</w:t>
            </w:r>
          </w:p>
        </w:tc>
      </w:tr>
      <w:tr w14:paraId="5925219D">
        <w:tblPrEx>
          <w:tblCellMar>
            <w:top w:w="0" w:type="dxa"/>
            <w:left w:w="108" w:type="dxa"/>
            <w:bottom w:w="0" w:type="dxa"/>
            <w:right w:w="108" w:type="dxa"/>
          </w:tblCellMar>
        </w:tblPrEx>
        <w:trPr>
          <w:trHeight w:val="421" w:hRule="exact"/>
          <w:jc w:val="center"/>
        </w:trPr>
        <w:tc>
          <w:tcPr>
            <w:tcW w:w="1714" w:type="dxa"/>
            <w:vMerge w:val="continue"/>
            <w:tcBorders>
              <w:top w:val="single" w:color="4F81BD" w:sz="8" w:space="0"/>
              <w:left w:val="single" w:color="4F81BD" w:sz="8" w:space="0"/>
              <w:bottom w:val="single" w:color="4F81BD" w:sz="8" w:space="0"/>
              <w:right w:val="single" w:color="4F81BD" w:sz="8" w:space="0"/>
            </w:tcBorders>
            <w:shd w:val="clear" w:color="auto" w:fill="B8CCE4"/>
            <w:vAlign w:val="center"/>
          </w:tcPr>
          <w:p w14:paraId="548B87FE">
            <w:pPr>
              <w:widowControl/>
              <w:spacing w:line="360" w:lineRule="auto"/>
              <w:jc w:val="center"/>
              <w:rPr>
                <w:color w:val="000000"/>
                <w:sz w:val="18"/>
                <w:szCs w:val="18"/>
              </w:rPr>
            </w:pPr>
          </w:p>
        </w:tc>
        <w:tc>
          <w:tcPr>
            <w:tcW w:w="1426" w:type="dxa"/>
            <w:tcBorders>
              <w:top w:val="single" w:color="4F81BD" w:sz="8" w:space="0"/>
              <w:left w:val="single" w:color="4F81BD" w:sz="8" w:space="0"/>
              <w:bottom w:val="single" w:color="4F81BD" w:sz="8" w:space="0"/>
              <w:right w:val="single" w:color="4F81BD" w:sz="8" w:space="0"/>
            </w:tcBorders>
            <w:shd w:val="clear" w:color="auto" w:fill="B8CCE4"/>
            <w:vAlign w:val="center"/>
          </w:tcPr>
          <w:p w14:paraId="7AD965C6">
            <w:pPr>
              <w:widowControl/>
              <w:spacing w:line="360" w:lineRule="auto"/>
              <w:jc w:val="center"/>
              <w:rPr>
                <w:color w:val="000000"/>
                <w:sz w:val="18"/>
                <w:szCs w:val="18"/>
              </w:rPr>
            </w:pPr>
            <w:r>
              <w:rPr>
                <w:rFonts w:hint="eastAsia"/>
                <w:color w:val="000000"/>
                <w:sz w:val="18"/>
                <w:szCs w:val="18"/>
              </w:rPr>
              <w:t>营业收入(Y)</w:t>
            </w:r>
          </w:p>
        </w:tc>
        <w:tc>
          <w:tcPr>
            <w:tcW w:w="738" w:type="dxa"/>
            <w:tcBorders>
              <w:top w:val="single" w:color="4F81BD" w:sz="8" w:space="0"/>
              <w:left w:val="single" w:color="4F81BD" w:sz="8" w:space="0"/>
              <w:bottom w:val="single" w:color="4F81BD" w:sz="8" w:space="0"/>
              <w:right w:val="single" w:color="4F81BD" w:sz="8" w:space="0"/>
            </w:tcBorders>
            <w:shd w:val="clear" w:color="auto" w:fill="B8CCE4"/>
            <w:vAlign w:val="center"/>
          </w:tcPr>
          <w:p w14:paraId="2E3F2F66">
            <w:pPr>
              <w:widowControl/>
              <w:spacing w:line="360" w:lineRule="auto"/>
              <w:jc w:val="center"/>
              <w:rPr>
                <w:color w:val="000000"/>
                <w:sz w:val="18"/>
                <w:szCs w:val="18"/>
              </w:rPr>
            </w:pPr>
            <w:r>
              <w:rPr>
                <w:rFonts w:hint="eastAsia"/>
                <w:color w:val="000000"/>
                <w:sz w:val="18"/>
                <w:szCs w:val="18"/>
              </w:rPr>
              <w:t>万元</w:t>
            </w:r>
          </w:p>
        </w:tc>
        <w:tc>
          <w:tcPr>
            <w:tcW w:w="1172" w:type="dxa"/>
            <w:tcBorders>
              <w:top w:val="single" w:color="4F81BD" w:sz="8" w:space="0"/>
              <w:left w:val="single" w:color="4F81BD" w:sz="8" w:space="0"/>
              <w:bottom w:val="single" w:color="4F81BD" w:sz="8" w:space="0"/>
              <w:right w:val="single" w:color="4F81BD" w:sz="8" w:space="0"/>
            </w:tcBorders>
            <w:shd w:val="clear" w:color="auto" w:fill="B8CCE4"/>
            <w:vAlign w:val="center"/>
          </w:tcPr>
          <w:p w14:paraId="736F26A9">
            <w:pPr>
              <w:widowControl/>
              <w:spacing w:line="360" w:lineRule="auto"/>
              <w:jc w:val="center"/>
              <w:rPr>
                <w:color w:val="000000"/>
                <w:sz w:val="18"/>
                <w:szCs w:val="18"/>
              </w:rPr>
            </w:pPr>
            <w:r>
              <w:rPr>
                <w:rFonts w:hint="eastAsia"/>
                <w:color w:val="000000"/>
                <w:sz w:val="18"/>
                <w:szCs w:val="18"/>
              </w:rPr>
              <w:t>Y≥30000</w:t>
            </w:r>
          </w:p>
        </w:tc>
        <w:tc>
          <w:tcPr>
            <w:tcW w:w="1773" w:type="dxa"/>
            <w:tcBorders>
              <w:top w:val="single" w:color="4F81BD" w:sz="8" w:space="0"/>
              <w:left w:val="single" w:color="4F81BD" w:sz="8" w:space="0"/>
              <w:bottom w:val="single" w:color="4F81BD" w:sz="8" w:space="0"/>
              <w:right w:val="single" w:color="4F81BD" w:sz="8" w:space="0"/>
            </w:tcBorders>
            <w:shd w:val="clear" w:color="auto" w:fill="B8CCE4"/>
            <w:vAlign w:val="center"/>
          </w:tcPr>
          <w:p w14:paraId="505434E4">
            <w:pPr>
              <w:widowControl/>
              <w:spacing w:line="360" w:lineRule="auto"/>
              <w:jc w:val="center"/>
              <w:rPr>
                <w:color w:val="000000"/>
                <w:sz w:val="18"/>
                <w:szCs w:val="18"/>
              </w:rPr>
            </w:pPr>
            <w:r>
              <w:rPr>
                <w:rFonts w:hint="eastAsia"/>
                <w:color w:val="000000"/>
                <w:sz w:val="18"/>
                <w:szCs w:val="18"/>
              </w:rPr>
              <w:t>1000≤Y＜30000</w:t>
            </w:r>
          </w:p>
        </w:tc>
        <w:tc>
          <w:tcPr>
            <w:tcW w:w="1485" w:type="dxa"/>
            <w:tcBorders>
              <w:top w:val="single" w:color="4F81BD" w:sz="8" w:space="0"/>
              <w:left w:val="single" w:color="4F81BD" w:sz="8" w:space="0"/>
              <w:bottom w:val="single" w:color="4F81BD" w:sz="8" w:space="0"/>
              <w:right w:val="single" w:color="4F81BD" w:sz="8" w:space="0"/>
            </w:tcBorders>
            <w:shd w:val="clear" w:color="auto" w:fill="B8CCE4"/>
            <w:vAlign w:val="center"/>
          </w:tcPr>
          <w:p w14:paraId="3DFA232F">
            <w:pPr>
              <w:widowControl/>
              <w:spacing w:line="360" w:lineRule="auto"/>
              <w:jc w:val="center"/>
              <w:rPr>
                <w:color w:val="000000"/>
                <w:sz w:val="18"/>
                <w:szCs w:val="18"/>
              </w:rPr>
            </w:pPr>
            <w:r>
              <w:rPr>
                <w:rFonts w:hint="eastAsia"/>
                <w:color w:val="000000"/>
                <w:sz w:val="18"/>
                <w:szCs w:val="18"/>
              </w:rPr>
              <w:t xml:space="preserve"> 100≤Y＜1000</w:t>
            </w:r>
          </w:p>
        </w:tc>
        <w:tc>
          <w:tcPr>
            <w:tcW w:w="1033" w:type="dxa"/>
            <w:tcBorders>
              <w:top w:val="single" w:color="4F81BD" w:sz="8" w:space="0"/>
              <w:left w:val="single" w:color="4F81BD" w:sz="8" w:space="0"/>
              <w:bottom w:val="single" w:color="4F81BD" w:sz="8" w:space="0"/>
              <w:right w:val="single" w:color="4F81BD" w:sz="8" w:space="0"/>
            </w:tcBorders>
            <w:shd w:val="clear" w:color="auto" w:fill="B8CCE4"/>
            <w:vAlign w:val="center"/>
          </w:tcPr>
          <w:p w14:paraId="576FAFA1">
            <w:pPr>
              <w:widowControl/>
              <w:spacing w:line="360" w:lineRule="auto"/>
              <w:jc w:val="center"/>
              <w:rPr>
                <w:color w:val="000000"/>
                <w:sz w:val="18"/>
                <w:szCs w:val="18"/>
              </w:rPr>
            </w:pPr>
            <w:r>
              <w:rPr>
                <w:rFonts w:hint="eastAsia"/>
                <w:color w:val="000000"/>
                <w:sz w:val="18"/>
                <w:szCs w:val="18"/>
              </w:rPr>
              <w:t>Y＜100</w:t>
            </w:r>
          </w:p>
        </w:tc>
      </w:tr>
      <w:tr w14:paraId="467EC45B">
        <w:tblPrEx>
          <w:tblCellMar>
            <w:top w:w="0" w:type="dxa"/>
            <w:left w:w="108" w:type="dxa"/>
            <w:bottom w:w="0" w:type="dxa"/>
            <w:right w:w="108" w:type="dxa"/>
          </w:tblCellMar>
        </w:tblPrEx>
        <w:trPr>
          <w:trHeight w:val="421" w:hRule="exact"/>
          <w:jc w:val="center"/>
        </w:trPr>
        <w:tc>
          <w:tcPr>
            <w:tcW w:w="1714" w:type="dxa"/>
            <w:vMerge w:val="restart"/>
            <w:tcBorders>
              <w:top w:val="single" w:color="4F81BD" w:sz="8" w:space="0"/>
              <w:left w:val="single" w:color="4F81BD" w:sz="8" w:space="0"/>
              <w:bottom w:val="single" w:color="4F81BD" w:sz="8" w:space="0"/>
              <w:right w:val="single" w:color="4F81BD" w:sz="8" w:space="0"/>
            </w:tcBorders>
            <w:shd w:val="clear" w:color="auto" w:fill="FFFFFF"/>
            <w:vAlign w:val="center"/>
          </w:tcPr>
          <w:p w14:paraId="3D4C9870">
            <w:pPr>
              <w:widowControl/>
              <w:spacing w:line="360" w:lineRule="auto"/>
              <w:jc w:val="center"/>
              <w:rPr>
                <w:color w:val="000000"/>
                <w:sz w:val="18"/>
                <w:szCs w:val="18"/>
              </w:rPr>
            </w:pPr>
            <w:r>
              <w:rPr>
                <w:rFonts w:hint="eastAsia"/>
                <w:color w:val="000000"/>
                <w:sz w:val="18"/>
                <w:szCs w:val="18"/>
              </w:rPr>
              <w:t>邮政业</w:t>
            </w:r>
          </w:p>
        </w:tc>
        <w:tc>
          <w:tcPr>
            <w:tcW w:w="1426" w:type="dxa"/>
            <w:tcBorders>
              <w:top w:val="single" w:color="4F81BD" w:sz="8" w:space="0"/>
              <w:left w:val="single" w:color="4F81BD" w:sz="8" w:space="0"/>
              <w:bottom w:val="single" w:color="4F81BD" w:sz="8" w:space="0"/>
              <w:right w:val="single" w:color="4F81BD" w:sz="8" w:space="0"/>
            </w:tcBorders>
            <w:shd w:val="clear" w:color="auto" w:fill="FFFFFF"/>
            <w:vAlign w:val="center"/>
          </w:tcPr>
          <w:p w14:paraId="3CA4813E">
            <w:pPr>
              <w:widowControl/>
              <w:spacing w:line="360" w:lineRule="auto"/>
              <w:jc w:val="center"/>
              <w:rPr>
                <w:color w:val="000000"/>
                <w:sz w:val="18"/>
                <w:szCs w:val="18"/>
              </w:rPr>
            </w:pPr>
            <w:r>
              <w:rPr>
                <w:rFonts w:hint="eastAsia"/>
                <w:color w:val="000000"/>
                <w:sz w:val="18"/>
                <w:szCs w:val="18"/>
              </w:rPr>
              <w:t>从业人员(X)</w:t>
            </w:r>
          </w:p>
        </w:tc>
        <w:tc>
          <w:tcPr>
            <w:tcW w:w="738" w:type="dxa"/>
            <w:tcBorders>
              <w:top w:val="single" w:color="4F81BD" w:sz="8" w:space="0"/>
              <w:left w:val="single" w:color="4F81BD" w:sz="8" w:space="0"/>
              <w:bottom w:val="single" w:color="4F81BD" w:sz="8" w:space="0"/>
              <w:right w:val="single" w:color="4F81BD" w:sz="8" w:space="0"/>
            </w:tcBorders>
            <w:shd w:val="clear" w:color="auto" w:fill="FFFFFF"/>
            <w:vAlign w:val="center"/>
          </w:tcPr>
          <w:p w14:paraId="40ED3667">
            <w:pPr>
              <w:widowControl/>
              <w:spacing w:line="360" w:lineRule="auto"/>
              <w:jc w:val="center"/>
              <w:rPr>
                <w:color w:val="000000"/>
                <w:sz w:val="18"/>
                <w:szCs w:val="18"/>
              </w:rPr>
            </w:pPr>
            <w:r>
              <w:rPr>
                <w:rFonts w:hint="eastAsia"/>
                <w:color w:val="000000"/>
                <w:sz w:val="18"/>
                <w:szCs w:val="18"/>
              </w:rPr>
              <w:t>人</w:t>
            </w:r>
          </w:p>
        </w:tc>
        <w:tc>
          <w:tcPr>
            <w:tcW w:w="1172" w:type="dxa"/>
            <w:tcBorders>
              <w:top w:val="single" w:color="4F81BD" w:sz="8" w:space="0"/>
              <w:left w:val="single" w:color="4F81BD" w:sz="8" w:space="0"/>
              <w:bottom w:val="single" w:color="4F81BD" w:sz="8" w:space="0"/>
              <w:right w:val="single" w:color="4F81BD" w:sz="8" w:space="0"/>
            </w:tcBorders>
            <w:shd w:val="clear" w:color="auto" w:fill="FFFFFF"/>
            <w:vAlign w:val="center"/>
          </w:tcPr>
          <w:p w14:paraId="46353538">
            <w:pPr>
              <w:widowControl/>
              <w:spacing w:line="360" w:lineRule="auto"/>
              <w:jc w:val="center"/>
              <w:rPr>
                <w:color w:val="000000"/>
                <w:sz w:val="18"/>
                <w:szCs w:val="18"/>
              </w:rPr>
            </w:pPr>
            <w:r>
              <w:rPr>
                <w:rFonts w:hint="eastAsia"/>
                <w:color w:val="000000"/>
                <w:sz w:val="18"/>
                <w:szCs w:val="18"/>
              </w:rPr>
              <w:t>X≥1000</w:t>
            </w:r>
          </w:p>
        </w:tc>
        <w:tc>
          <w:tcPr>
            <w:tcW w:w="1773" w:type="dxa"/>
            <w:tcBorders>
              <w:top w:val="single" w:color="4F81BD" w:sz="8" w:space="0"/>
              <w:left w:val="single" w:color="4F81BD" w:sz="8" w:space="0"/>
              <w:bottom w:val="single" w:color="4F81BD" w:sz="8" w:space="0"/>
              <w:right w:val="single" w:color="4F81BD" w:sz="8" w:space="0"/>
            </w:tcBorders>
            <w:shd w:val="clear" w:color="auto" w:fill="FFFFFF"/>
            <w:vAlign w:val="center"/>
          </w:tcPr>
          <w:p w14:paraId="16948519">
            <w:pPr>
              <w:widowControl/>
              <w:spacing w:line="360" w:lineRule="auto"/>
              <w:jc w:val="center"/>
              <w:rPr>
                <w:color w:val="000000"/>
                <w:sz w:val="18"/>
                <w:szCs w:val="18"/>
              </w:rPr>
            </w:pPr>
            <w:r>
              <w:rPr>
                <w:rFonts w:hint="eastAsia"/>
                <w:color w:val="000000"/>
                <w:sz w:val="18"/>
                <w:szCs w:val="18"/>
              </w:rPr>
              <w:t>300≤X＜1000</w:t>
            </w:r>
          </w:p>
        </w:tc>
        <w:tc>
          <w:tcPr>
            <w:tcW w:w="1485" w:type="dxa"/>
            <w:tcBorders>
              <w:top w:val="single" w:color="4F81BD" w:sz="8" w:space="0"/>
              <w:left w:val="single" w:color="4F81BD" w:sz="8" w:space="0"/>
              <w:bottom w:val="single" w:color="4F81BD" w:sz="8" w:space="0"/>
              <w:right w:val="single" w:color="4F81BD" w:sz="8" w:space="0"/>
            </w:tcBorders>
            <w:shd w:val="clear" w:color="auto" w:fill="FFFFFF"/>
            <w:vAlign w:val="center"/>
          </w:tcPr>
          <w:p w14:paraId="773EDD44">
            <w:pPr>
              <w:widowControl/>
              <w:spacing w:line="360" w:lineRule="auto"/>
              <w:jc w:val="center"/>
              <w:rPr>
                <w:color w:val="000000"/>
                <w:sz w:val="18"/>
                <w:szCs w:val="18"/>
              </w:rPr>
            </w:pPr>
            <w:r>
              <w:rPr>
                <w:rFonts w:hint="eastAsia"/>
                <w:color w:val="000000"/>
                <w:sz w:val="18"/>
                <w:szCs w:val="18"/>
              </w:rPr>
              <w:t xml:space="preserve"> 20≤X＜300</w:t>
            </w:r>
          </w:p>
        </w:tc>
        <w:tc>
          <w:tcPr>
            <w:tcW w:w="1033" w:type="dxa"/>
            <w:tcBorders>
              <w:top w:val="single" w:color="4F81BD" w:sz="8" w:space="0"/>
              <w:left w:val="single" w:color="4F81BD" w:sz="8" w:space="0"/>
              <w:bottom w:val="single" w:color="4F81BD" w:sz="8" w:space="0"/>
              <w:right w:val="single" w:color="4F81BD" w:sz="8" w:space="0"/>
            </w:tcBorders>
            <w:shd w:val="clear" w:color="auto" w:fill="FFFFFF"/>
            <w:vAlign w:val="center"/>
          </w:tcPr>
          <w:p w14:paraId="3ABF4603">
            <w:pPr>
              <w:widowControl/>
              <w:spacing w:line="360" w:lineRule="auto"/>
              <w:jc w:val="center"/>
              <w:rPr>
                <w:color w:val="000000"/>
                <w:sz w:val="18"/>
                <w:szCs w:val="18"/>
              </w:rPr>
            </w:pPr>
            <w:r>
              <w:rPr>
                <w:rFonts w:hint="eastAsia"/>
                <w:color w:val="000000"/>
                <w:sz w:val="18"/>
                <w:szCs w:val="18"/>
              </w:rPr>
              <w:t>X＜20</w:t>
            </w:r>
          </w:p>
        </w:tc>
      </w:tr>
      <w:tr w14:paraId="29B6A344">
        <w:tblPrEx>
          <w:tblCellMar>
            <w:top w:w="0" w:type="dxa"/>
            <w:left w:w="108" w:type="dxa"/>
            <w:bottom w:w="0" w:type="dxa"/>
            <w:right w:w="108" w:type="dxa"/>
          </w:tblCellMar>
        </w:tblPrEx>
        <w:trPr>
          <w:trHeight w:val="421" w:hRule="exact"/>
          <w:jc w:val="center"/>
        </w:trPr>
        <w:tc>
          <w:tcPr>
            <w:tcW w:w="1714" w:type="dxa"/>
            <w:vMerge w:val="continue"/>
            <w:tcBorders>
              <w:top w:val="single" w:color="4F81BD" w:sz="8" w:space="0"/>
              <w:left w:val="single" w:color="4F81BD" w:sz="8" w:space="0"/>
              <w:bottom w:val="single" w:color="4F81BD" w:sz="8" w:space="0"/>
              <w:right w:val="single" w:color="4F81BD" w:sz="8" w:space="0"/>
            </w:tcBorders>
            <w:shd w:val="clear" w:color="auto" w:fill="B8CCE4"/>
            <w:vAlign w:val="center"/>
          </w:tcPr>
          <w:p w14:paraId="09766EDE">
            <w:pPr>
              <w:widowControl/>
              <w:spacing w:line="360" w:lineRule="auto"/>
              <w:jc w:val="center"/>
              <w:rPr>
                <w:color w:val="000000"/>
                <w:sz w:val="18"/>
                <w:szCs w:val="18"/>
              </w:rPr>
            </w:pPr>
          </w:p>
        </w:tc>
        <w:tc>
          <w:tcPr>
            <w:tcW w:w="1426" w:type="dxa"/>
            <w:tcBorders>
              <w:top w:val="single" w:color="4F81BD" w:sz="8" w:space="0"/>
              <w:left w:val="single" w:color="4F81BD" w:sz="8" w:space="0"/>
              <w:bottom w:val="single" w:color="4F81BD" w:sz="8" w:space="0"/>
              <w:right w:val="single" w:color="4F81BD" w:sz="8" w:space="0"/>
            </w:tcBorders>
            <w:shd w:val="clear" w:color="auto" w:fill="B8CCE4"/>
            <w:vAlign w:val="center"/>
          </w:tcPr>
          <w:p w14:paraId="02E72482">
            <w:pPr>
              <w:widowControl/>
              <w:spacing w:line="360" w:lineRule="auto"/>
              <w:jc w:val="center"/>
              <w:rPr>
                <w:color w:val="000000"/>
                <w:sz w:val="18"/>
                <w:szCs w:val="18"/>
              </w:rPr>
            </w:pPr>
            <w:r>
              <w:rPr>
                <w:rFonts w:hint="eastAsia"/>
                <w:color w:val="000000"/>
                <w:sz w:val="18"/>
                <w:szCs w:val="18"/>
              </w:rPr>
              <w:t>营业收入(Y)</w:t>
            </w:r>
          </w:p>
        </w:tc>
        <w:tc>
          <w:tcPr>
            <w:tcW w:w="738" w:type="dxa"/>
            <w:tcBorders>
              <w:top w:val="single" w:color="4F81BD" w:sz="8" w:space="0"/>
              <w:left w:val="single" w:color="4F81BD" w:sz="8" w:space="0"/>
              <w:bottom w:val="single" w:color="4F81BD" w:sz="8" w:space="0"/>
              <w:right w:val="single" w:color="4F81BD" w:sz="8" w:space="0"/>
            </w:tcBorders>
            <w:shd w:val="clear" w:color="auto" w:fill="B8CCE4"/>
            <w:vAlign w:val="center"/>
          </w:tcPr>
          <w:p w14:paraId="47C779A7">
            <w:pPr>
              <w:widowControl/>
              <w:spacing w:line="360" w:lineRule="auto"/>
              <w:jc w:val="center"/>
              <w:rPr>
                <w:color w:val="000000"/>
                <w:sz w:val="18"/>
                <w:szCs w:val="18"/>
              </w:rPr>
            </w:pPr>
            <w:r>
              <w:rPr>
                <w:rFonts w:hint="eastAsia"/>
                <w:color w:val="000000"/>
                <w:sz w:val="18"/>
                <w:szCs w:val="18"/>
              </w:rPr>
              <w:t>万元</w:t>
            </w:r>
          </w:p>
        </w:tc>
        <w:tc>
          <w:tcPr>
            <w:tcW w:w="1172" w:type="dxa"/>
            <w:tcBorders>
              <w:top w:val="single" w:color="4F81BD" w:sz="8" w:space="0"/>
              <w:left w:val="single" w:color="4F81BD" w:sz="8" w:space="0"/>
              <w:bottom w:val="single" w:color="4F81BD" w:sz="8" w:space="0"/>
              <w:right w:val="single" w:color="4F81BD" w:sz="8" w:space="0"/>
            </w:tcBorders>
            <w:shd w:val="clear" w:color="auto" w:fill="B8CCE4"/>
            <w:vAlign w:val="center"/>
          </w:tcPr>
          <w:p w14:paraId="678DF71E">
            <w:pPr>
              <w:widowControl/>
              <w:spacing w:line="360" w:lineRule="auto"/>
              <w:jc w:val="center"/>
              <w:rPr>
                <w:color w:val="000000"/>
                <w:sz w:val="18"/>
                <w:szCs w:val="18"/>
              </w:rPr>
            </w:pPr>
            <w:r>
              <w:rPr>
                <w:rFonts w:hint="eastAsia"/>
                <w:color w:val="000000"/>
                <w:sz w:val="18"/>
                <w:szCs w:val="18"/>
              </w:rPr>
              <w:t>Y≥30000</w:t>
            </w:r>
          </w:p>
        </w:tc>
        <w:tc>
          <w:tcPr>
            <w:tcW w:w="1773" w:type="dxa"/>
            <w:tcBorders>
              <w:top w:val="single" w:color="4F81BD" w:sz="8" w:space="0"/>
              <w:left w:val="single" w:color="4F81BD" w:sz="8" w:space="0"/>
              <w:bottom w:val="single" w:color="4F81BD" w:sz="8" w:space="0"/>
              <w:right w:val="single" w:color="4F81BD" w:sz="8" w:space="0"/>
            </w:tcBorders>
            <w:shd w:val="clear" w:color="auto" w:fill="B8CCE4"/>
            <w:vAlign w:val="center"/>
          </w:tcPr>
          <w:p w14:paraId="6932CBE4">
            <w:pPr>
              <w:widowControl/>
              <w:spacing w:line="360" w:lineRule="auto"/>
              <w:jc w:val="center"/>
              <w:rPr>
                <w:color w:val="000000"/>
                <w:sz w:val="18"/>
                <w:szCs w:val="18"/>
              </w:rPr>
            </w:pPr>
            <w:r>
              <w:rPr>
                <w:rFonts w:hint="eastAsia"/>
                <w:color w:val="000000"/>
                <w:sz w:val="18"/>
                <w:szCs w:val="18"/>
              </w:rPr>
              <w:t>2000≤Y＜30000</w:t>
            </w:r>
          </w:p>
        </w:tc>
        <w:tc>
          <w:tcPr>
            <w:tcW w:w="1485" w:type="dxa"/>
            <w:tcBorders>
              <w:top w:val="single" w:color="4F81BD" w:sz="8" w:space="0"/>
              <w:left w:val="single" w:color="4F81BD" w:sz="8" w:space="0"/>
              <w:bottom w:val="single" w:color="4F81BD" w:sz="8" w:space="0"/>
              <w:right w:val="single" w:color="4F81BD" w:sz="8" w:space="0"/>
            </w:tcBorders>
            <w:shd w:val="clear" w:color="auto" w:fill="B8CCE4"/>
            <w:vAlign w:val="center"/>
          </w:tcPr>
          <w:p w14:paraId="4F24C008">
            <w:pPr>
              <w:widowControl/>
              <w:spacing w:line="360" w:lineRule="auto"/>
              <w:jc w:val="center"/>
              <w:rPr>
                <w:color w:val="000000"/>
                <w:sz w:val="18"/>
                <w:szCs w:val="18"/>
              </w:rPr>
            </w:pPr>
            <w:r>
              <w:rPr>
                <w:rFonts w:hint="eastAsia"/>
                <w:color w:val="000000"/>
                <w:sz w:val="18"/>
                <w:szCs w:val="18"/>
              </w:rPr>
              <w:t xml:space="preserve"> 100≤Y＜2000</w:t>
            </w:r>
          </w:p>
        </w:tc>
        <w:tc>
          <w:tcPr>
            <w:tcW w:w="1033" w:type="dxa"/>
            <w:tcBorders>
              <w:top w:val="single" w:color="4F81BD" w:sz="8" w:space="0"/>
              <w:left w:val="single" w:color="4F81BD" w:sz="8" w:space="0"/>
              <w:bottom w:val="single" w:color="4F81BD" w:sz="8" w:space="0"/>
              <w:right w:val="single" w:color="4F81BD" w:sz="8" w:space="0"/>
            </w:tcBorders>
            <w:shd w:val="clear" w:color="auto" w:fill="B8CCE4"/>
            <w:vAlign w:val="center"/>
          </w:tcPr>
          <w:p w14:paraId="15430147">
            <w:pPr>
              <w:widowControl/>
              <w:spacing w:line="360" w:lineRule="auto"/>
              <w:jc w:val="center"/>
              <w:rPr>
                <w:color w:val="000000"/>
                <w:sz w:val="18"/>
                <w:szCs w:val="18"/>
              </w:rPr>
            </w:pPr>
            <w:r>
              <w:rPr>
                <w:rFonts w:hint="eastAsia"/>
                <w:color w:val="000000"/>
                <w:sz w:val="18"/>
                <w:szCs w:val="18"/>
              </w:rPr>
              <w:t>Y＜100</w:t>
            </w:r>
          </w:p>
        </w:tc>
      </w:tr>
      <w:tr w14:paraId="32D1A5EC">
        <w:tblPrEx>
          <w:tblCellMar>
            <w:top w:w="0" w:type="dxa"/>
            <w:left w:w="108" w:type="dxa"/>
            <w:bottom w:w="0" w:type="dxa"/>
            <w:right w:w="108" w:type="dxa"/>
          </w:tblCellMar>
        </w:tblPrEx>
        <w:trPr>
          <w:trHeight w:val="421" w:hRule="exact"/>
          <w:jc w:val="center"/>
        </w:trPr>
        <w:tc>
          <w:tcPr>
            <w:tcW w:w="1714" w:type="dxa"/>
            <w:vMerge w:val="restart"/>
            <w:tcBorders>
              <w:top w:val="single" w:color="4F81BD" w:sz="8" w:space="0"/>
              <w:left w:val="single" w:color="4F81BD" w:sz="8" w:space="0"/>
              <w:bottom w:val="single" w:color="4F81BD" w:sz="8" w:space="0"/>
              <w:right w:val="single" w:color="4F81BD" w:sz="8" w:space="0"/>
            </w:tcBorders>
            <w:shd w:val="clear" w:color="auto" w:fill="FFFFFF"/>
            <w:vAlign w:val="center"/>
          </w:tcPr>
          <w:p w14:paraId="792193B5">
            <w:pPr>
              <w:widowControl/>
              <w:spacing w:line="360" w:lineRule="auto"/>
              <w:jc w:val="center"/>
              <w:rPr>
                <w:color w:val="000000"/>
                <w:sz w:val="18"/>
                <w:szCs w:val="18"/>
              </w:rPr>
            </w:pPr>
            <w:r>
              <w:rPr>
                <w:rFonts w:hint="eastAsia"/>
                <w:color w:val="000000"/>
                <w:sz w:val="18"/>
                <w:szCs w:val="18"/>
              </w:rPr>
              <w:t>住宿业</w:t>
            </w:r>
          </w:p>
        </w:tc>
        <w:tc>
          <w:tcPr>
            <w:tcW w:w="1426" w:type="dxa"/>
            <w:tcBorders>
              <w:top w:val="single" w:color="4F81BD" w:sz="8" w:space="0"/>
              <w:left w:val="single" w:color="4F81BD" w:sz="8" w:space="0"/>
              <w:bottom w:val="single" w:color="4F81BD" w:sz="8" w:space="0"/>
              <w:right w:val="single" w:color="4F81BD" w:sz="8" w:space="0"/>
            </w:tcBorders>
            <w:shd w:val="clear" w:color="auto" w:fill="FFFFFF"/>
            <w:vAlign w:val="center"/>
          </w:tcPr>
          <w:p w14:paraId="59FBF946">
            <w:pPr>
              <w:widowControl/>
              <w:spacing w:line="360" w:lineRule="auto"/>
              <w:jc w:val="center"/>
              <w:rPr>
                <w:color w:val="000000"/>
                <w:sz w:val="18"/>
                <w:szCs w:val="18"/>
              </w:rPr>
            </w:pPr>
            <w:r>
              <w:rPr>
                <w:rFonts w:hint="eastAsia"/>
                <w:color w:val="000000"/>
                <w:sz w:val="18"/>
                <w:szCs w:val="18"/>
              </w:rPr>
              <w:t>从业人员(X)</w:t>
            </w:r>
          </w:p>
        </w:tc>
        <w:tc>
          <w:tcPr>
            <w:tcW w:w="738" w:type="dxa"/>
            <w:tcBorders>
              <w:top w:val="single" w:color="4F81BD" w:sz="8" w:space="0"/>
              <w:left w:val="single" w:color="4F81BD" w:sz="8" w:space="0"/>
              <w:bottom w:val="single" w:color="4F81BD" w:sz="8" w:space="0"/>
              <w:right w:val="single" w:color="4F81BD" w:sz="8" w:space="0"/>
            </w:tcBorders>
            <w:shd w:val="clear" w:color="auto" w:fill="FFFFFF"/>
            <w:vAlign w:val="center"/>
          </w:tcPr>
          <w:p w14:paraId="37499BE0">
            <w:pPr>
              <w:widowControl/>
              <w:spacing w:line="360" w:lineRule="auto"/>
              <w:jc w:val="center"/>
              <w:rPr>
                <w:color w:val="000000"/>
                <w:sz w:val="18"/>
                <w:szCs w:val="18"/>
              </w:rPr>
            </w:pPr>
            <w:r>
              <w:rPr>
                <w:rFonts w:hint="eastAsia"/>
                <w:color w:val="000000"/>
                <w:sz w:val="18"/>
                <w:szCs w:val="18"/>
              </w:rPr>
              <w:t>人</w:t>
            </w:r>
          </w:p>
        </w:tc>
        <w:tc>
          <w:tcPr>
            <w:tcW w:w="1172" w:type="dxa"/>
            <w:tcBorders>
              <w:top w:val="single" w:color="4F81BD" w:sz="8" w:space="0"/>
              <w:left w:val="single" w:color="4F81BD" w:sz="8" w:space="0"/>
              <w:bottom w:val="single" w:color="4F81BD" w:sz="8" w:space="0"/>
              <w:right w:val="single" w:color="4F81BD" w:sz="8" w:space="0"/>
            </w:tcBorders>
            <w:shd w:val="clear" w:color="auto" w:fill="FFFFFF"/>
            <w:vAlign w:val="center"/>
          </w:tcPr>
          <w:p w14:paraId="31261C32">
            <w:pPr>
              <w:widowControl/>
              <w:spacing w:line="360" w:lineRule="auto"/>
              <w:jc w:val="center"/>
              <w:rPr>
                <w:color w:val="000000"/>
                <w:sz w:val="18"/>
                <w:szCs w:val="18"/>
              </w:rPr>
            </w:pPr>
            <w:r>
              <w:rPr>
                <w:rFonts w:hint="eastAsia"/>
                <w:color w:val="000000"/>
                <w:sz w:val="18"/>
                <w:szCs w:val="18"/>
              </w:rPr>
              <w:t>X≥300</w:t>
            </w:r>
          </w:p>
        </w:tc>
        <w:tc>
          <w:tcPr>
            <w:tcW w:w="1773" w:type="dxa"/>
            <w:tcBorders>
              <w:top w:val="single" w:color="4F81BD" w:sz="8" w:space="0"/>
              <w:left w:val="single" w:color="4F81BD" w:sz="8" w:space="0"/>
              <w:bottom w:val="single" w:color="4F81BD" w:sz="8" w:space="0"/>
              <w:right w:val="single" w:color="4F81BD" w:sz="8" w:space="0"/>
            </w:tcBorders>
            <w:shd w:val="clear" w:color="auto" w:fill="FFFFFF"/>
            <w:vAlign w:val="center"/>
          </w:tcPr>
          <w:p w14:paraId="33507671">
            <w:pPr>
              <w:widowControl/>
              <w:spacing w:line="360" w:lineRule="auto"/>
              <w:ind w:left="-4" w:leftChars="-51" w:hanging="108" w:hangingChars="60"/>
              <w:jc w:val="center"/>
              <w:rPr>
                <w:color w:val="000000"/>
                <w:sz w:val="18"/>
                <w:szCs w:val="18"/>
              </w:rPr>
            </w:pPr>
            <w:r>
              <w:rPr>
                <w:rFonts w:hint="eastAsia"/>
                <w:color w:val="000000"/>
                <w:sz w:val="18"/>
                <w:szCs w:val="18"/>
              </w:rPr>
              <w:t xml:space="preserve">100≤X＜300 </w:t>
            </w:r>
          </w:p>
        </w:tc>
        <w:tc>
          <w:tcPr>
            <w:tcW w:w="1485" w:type="dxa"/>
            <w:tcBorders>
              <w:top w:val="single" w:color="4F81BD" w:sz="8" w:space="0"/>
              <w:left w:val="single" w:color="4F81BD" w:sz="8" w:space="0"/>
              <w:bottom w:val="single" w:color="4F81BD" w:sz="8" w:space="0"/>
              <w:right w:val="single" w:color="4F81BD" w:sz="8" w:space="0"/>
            </w:tcBorders>
            <w:shd w:val="clear" w:color="auto" w:fill="FFFFFF"/>
            <w:vAlign w:val="center"/>
          </w:tcPr>
          <w:p w14:paraId="79DE990E">
            <w:pPr>
              <w:widowControl/>
              <w:spacing w:line="360" w:lineRule="auto"/>
              <w:jc w:val="center"/>
              <w:rPr>
                <w:color w:val="000000"/>
                <w:sz w:val="18"/>
                <w:szCs w:val="18"/>
              </w:rPr>
            </w:pPr>
            <w:r>
              <w:rPr>
                <w:rFonts w:hint="eastAsia"/>
                <w:color w:val="000000"/>
                <w:sz w:val="18"/>
                <w:szCs w:val="18"/>
              </w:rPr>
              <w:t xml:space="preserve"> 10≤X＜100</w:t>
            </w:r>
          </w:p>
        </w:tc>
        <w:tc>
          <w:tcPr>
            <w:tcW w:w="1033" w:type="dxa"/>
            <w:tcBorders>
              <w:top w:val="single" w:color="4F81BD" w:sz="8" w:space="0"/>
              <w:left w:val="single" w:color="4F81BD" w:sz="8" w:space="0"/>
              <w:bottom w:val="single" w:color="4F81BD" w:sz="8" w:space="0"/>
              <w:right w:val="single" w:color="4F81BD" w:sz="8" w:space="0"/>
            </w:tcBorders>
            <w:shd w:val="clear" w:color="auto" w:fill="FFFFFF"/>
            <w:vAlign w:val="center"/>
          </w:tcPr>
          <w:p w14:paraId="4564DD71">
            <w:pPr>
              <w:widowControl/>
              <w:spacing w:line="360" w:lineRule="auto"/>
              <w:jc w:val="center"/>
              <w:rPr>
                <w:color w:val="000000"/>
                <w:sz w:val="18"/>
                <w:szCs w:val="18"/>
              </w:rPr>
            </w:pPr>
            <w:r>
              <w:rPr>
                <w:rFonts w:hint="eastAsia"/>
                <w:color w:val="000000"/>
                <w:sz w:val="18"/>
                <w:szCs w:val="18"/>
              </w:rPr>
              <w:t>X＜10</w:t>
            </w:r>
          </w:p>
        </w:tc>
      </w:tr>
      <w:tr w14:paraId="7A4D7F80">
        <w:tblPrEx>
          <w:tblCellMar>
            <w:top w:w="0" w:type="dxa"/>
            <w:left w:w="108" w:type="dxa"/>
            <w:bottom w:w="0" w:type="dxa"/>
            <w:right w:w="108" w:type="dxa"/>
          </w:tblCellMar>
        </w:tblPrEx>
        <w:trPr>
          <w:trHeight w:val="421" w:hRule="exact"/>
          <w:jc w:val="center"/>
        </w:trPr>
        <w:tc>
          <w:tcPr>
            <w:tcW w:w="1714" w:type="dxa"/>
            <w:vMerge w:val="continue"/>
            <w:tcBorders>
              <w:top w:val="single" w:color="4F81BD" w:sz="8" w:space="0"/>
              <w:left w:val="single" w:color="4F81BD" w:sz="8" w:space="0"/>
              <w:bottom w:val="single" w:color="4F81BD" w:sz="8" w:space="0"/>
              <w:right w:val="single" w:color="4F81BD" w:sz="8" w:space="0"/>
            </w:tcBorders>
            <w:shd w:val="clear" w:color="auto" w:fill="B8CCE4"/>
            <w:vAlign w:val="center"/>
          </w:tcPr>
          <w:p w14:paraId="22CCAB14">
            <w:pPr>
              <w:widowControl/>
              <w:spacing w:line="360" w:lineRule="auto"/>
              <w:jc w:val="center"/>
              <w:rPr>
                <w:color w:val="000000"/>
                <w:sz w:val="18"/>
                <w:szCs w:val="18"/>
              </w:rPr>
            </w:pPr>
          </w:p>
        </w:tc>
        <w:tc>
          <w:tcPr>
            <w:tcW w:w="1426" w:type="dxa"/>
            <w:tcBorders>
              <w:top w:val="single" w:color="4F81BD" w:sz="8" w:space="0"/>
              <w:left w:val="single" w:color="4F81BD" w:sz="8" w:space="0"/>
              <w:bottom w:val="single" w:color="4F81BD" w:sz="8" w:space="0"/>
              <w:right w:val="single" w:color="4F81BD" w:sz="8" w:space="0"/>
            </w:tcBorders>
            <w:shd w:val="clear" w:color="auto" w:fill="B8CCE4"/>
            <w:vAlign w:val="center"/>
          </w:tcPr>
          <w:p w14:paraId="2997EE74">
            <w:pPr>
              <w:widowControl/>
              <w:spacing w:line="360" w:lineRule="auto"/>
              <w:jc w:val="center"/>
              <w:rPr>
                <w:color w:val="000000"/>
                <w:sz w:val="18"/>
                <w:szCs w:val="18"/>
              </w:rPr>
            </w:pPr>
            <w:r>
              <w:rPr>
                <w:rFonts w:hint="eastAsia"/>
                <w:color w:val="000000"/>
                <w:sz w:val="18"/>
                <w:szCs w:val="18"/>
              </w:rPr>
              <w:t>营业收入(Y)</w:t>
            </w:r>
          </w:p>
        </w:tc>
        <w:tc>
          <w:tcPr>
            <w:tcW w:w="738" w:type="dxa"/>
            <w:tcBorders>
              <w:top w:val="single" w:color="4F81BD" w:sz="8" w:space="0"/>
              <w:left w:val="single" w:color="4F81BD" w:sz="8" w:space="0"/>
              <w:bottom w:val="single" w:color="4F81BD" w:sz="8" w:space="0"/>
              <w:right w:val="single" w:color="4F81BD" w:sz="8" w:space="0"/>
            </w:tcBorders>
            <w:shd w:val="clear" w:color="auto" w:fill="B8CCE4"/>
            <w:vAlign w:val="center"/>
          </w:tcPr>
          <w:p w14:paraId="59209DA2">
            <w:pPr>
              <w:widowControl/>
              <w:spacing w:line="360" w:lineRule="auto"/>
              <w:jc w:val="center"/>
              <w:rPr>
                <w:color w:val="000000"/>
                <w:sz w:val="18"/>
                <w:szCs w:val="18"/>
              </w:rPr>
            </w:pPr>
            <w:r>
              <w:rPr>
                <w:rFonts w:hint="eastAsia"/>
                <w:color w:val="000000"/>
                <w:sz w:val="18"/>
                <w:szCs w:val="18"/>
              </w:rPr>
              <w:t>万元</w:t>
            </w:r>
          </w:p>
        </w:tc>
        <w:tc>
          <w:tcPr>
            <w:tcW w:w="1172" w:type="dxa"/>
            <w:tcBorders>
              <w:top w:val="single" w:color="4F81BD" w:sz="8" w:space="0"/>
              <w:left w:val="single" w:color="4F81BD" w:sz="8" w:space="0"/>
              <w:bottom w:val="single" w:color="4F81BD" w:sz="8" w:space="0"/>
              <w:right w:val="single" w:color="4F81BD" w:sz="8" w:space="0"/>
            </w:tcBorders>
            <w:shd w:val="clear" w:color="auto" w:fill="B8CCE4"/>
            <w:vAlign w:val="center"/>
          </w:tcPr>
          <w:p w14:paraId="0A3461FD">
            <w:pPr>
              <w:widowControl/>
              <w:spacing w:line="360" w:lineRule="auto"/>
              <w:jc w:val="center"/>
              <w:rPr>
                <w:color w:val="000000"/>
                <w:sz w:val="18"/>
                <w:szCs w:val="18"/>
              </w:rPr>
            </w:pPr>
            <w:r>
              <w:rPr>
                <w:rFonts w:hint="eastAsia"/>
                <w:color w:val="000000"/>
                <w:sz w:val="18"/>
                <w:szCs w:val="18"/>
              </w:rPr>
              <w:t>Y≥10000</w:t>
            </w:r>
          </w:p>
        </w:tc>
        <w:tc>
          <w:tcPr>
            <w:tcW w:w="1773" w:type="dxa"/>
            <w:tcBorders>
              <w:top w:val="single" w:color="4F81BD" w:sz="8" w:space="0"/>
              <w:left w:val="single" w:color="4F81BD" w:sz="8" w:space="0"/>
              <w:bottom w:val="single" w:color="4F81BD" w:sz="8" w:space="0"/>
              <w:right w:val="single" w:color="4F81BD" w:sz="8" w:space="0"/>
            </w:tcBorders>
            <w:shd w:val="clear" w:color="auto" w:fill="B8CCE4"/>
            <w:vAlign w:val="center"/>
          </w:tcPr>
          <w:p w14:paraId="014E2066">
            <w:pPr>
              <w:widowControl/>
              <w:spacing w:line="360" w:lineRule="auto"/>
              <w:jc w:val="center"/>
              <w:rPr>
                <w:color w:val="000000"/>
                <w:sz w:val="18"/>
                <w:szCs w:val="18"/>
              </w:rPr>
            </w:pPr>
            <w:r>
              <w:rPr>
                <w:rFonts w:hint="eastAsia"/>
                <w:color w:val="000000"/>
                <w:sz w:val="18"/>
                <w:szCs w:val="18"/>
              </w:rPr>
              <w:t>2000≤Y＜10000</w:t>
            </w:r>
          </w:p>
        </w:tc>
        <w:tc>
          <w:tcPr>
            <w:tcW w:w="1485" w:type="dxa"/>
            <w:tcBorders>
              <w:top w:val="single" w:color="4F81BD" w:sz="8" w:space="0"/>
              <w:left w:val="single" w:color="4F81BD" w:sz="8" w:space="0"/>
              <w:bottom w:val="single" w:color="4F81BD" w:sz="8" w:space="0"/>
              <w:right w:val="single" w:color="4F81BD" w:sz="8" w:space="0"/>
            </w:tcBorders>
            <w:shd w:val="clear" w:color="auto" w:fill="B8CCE4"/>
            <w:vAlign w:val="center"/>
          </w:tcPr>
          <w:p w14:paraId="312A6D74">
            <w:pPr>
              <w:widowControl/>
              <w:spacing w:line="360" w:lineRule="auto"/>
              <w:jc w:val="center"/>
              <w:rPr>
                <w:color w:val="000000"/>
                <w:sz w:val="18"/>
                <w:szCs w:val="18"/>
              </w:rPr>
            </w:pPr>
            <w:r>
              <w:rPr>
                <w:rFonts w:hint="eastAsia"/>
                <w:color w:val="000000"/>
                <w:sz w:val="18"/>
                <w:szCs w:val="18"/>
              </w:rPr>
              <w:t xml:space="preserve"> 100≤Y＜2000</w:t>
            </w:r>
          </w:p>
        </w:tc>
        <w:tc>
          <w:tcPr>
            <w:tcW w:w="1033" w:type="dxa"/>
            <w:tcBorders>
              <w:top w:val="single" w:color="4F81BD" w:sz="8" w:space="0"/>
              <w:left w:val="single" w:color="4F81BD" w:sz="8" w:space="0"/>
              <w:bottom w:val="single" w:color="4F81BD" w:sz="8" w:space="0"/>
              <w:right w:val="single" w:color="4F81BD" w:sz="8" w:space="0"/>
            </w:tcBorders>
            <w:shd w:val="clear" w:color="auto" w:fill="B8CCE4"/>
            <w:vAlign w:val="center"/>
          </w:tcPr>
          <w:p w14:paraId="7F00A33F">
            <w:pPr>
              <w:widowControl/>
              <w:spacing w:line="360" w:lineRule="auto"/>
              <w:jc w:val="center"/>
              <w:rPr>
                <w:color w:val="000000"/>
                <w:sz w:val="18"/>
                <w:szCs w:val="18"/>
              </w:rPr>
            </w:pPr>
            <w:r>
              <w:rPr>
                <w:rFonts w:hint="eastAsia"/>
                <w:color w:val="000000"/>
                <w:sz w:val="18"/>
                <w:szCs w:val="18"/>
              </w:rPr>
              <w:t>Y＜100</w:t>
            </w:r>
          </w:p>
        </w:tc>
      </w:tr>
      <w:tr w14:paraId="211FB723">
        <w:tblPrEx>
          <w:tblCellMar>
            <w:top w:w="0" w:type="dxa"/>
            <w:left w:w="108" w:type="dxa"/>
            <w:bottom w:w="0" w:type="dxa"/>
            <w:right w:w="108" w:type="dxa"/>
          </w:tblCellMar>
        </w:tblPrEx>
        <w:trPr>
          <w:trHeight w:val="421" w:hRule="exact"/>
          <w:jc w:val="center"/>
        </w:trPr>
        <w:tc>
          <w:tcPr>
            <w:tcW w:w="1714" w:type="dxa"/>
            <w:vMerge w:val="restart"/>
            <w:tcBorders>
              <w:top w:val="single" w:color="4F81BD" w:sz="8" w:space="0"/>
              <w:left w:val="single" w:color="4F81BD" w:sz="8" w:space="0"/>
              <w:bottom w:val="single" w:color="4F81BD" w:sz="8" w:space="0"/>
              <w:right w:val="single" w:color="4F81BD" w:sz="8" w:space="0"/>
            </w:tcBorders>
            <w:shd w:val="clear" w:color="auto" w:fill="FFFFFF"/>
            <w:vAlign w:val="center"/>
          </w:tcPr>
          <w:p w14:paraId="59168BAC">
            <w:pPr>
              <w:widowControl/>
              <w:spacing w:line="360" w:lineRule="auto"/>
              <w:jc w:val="center"/>
              <w:rPr>
                <w:color w:val="000000"/>
                <w:sz w:val="18"/>
                <w:szCs w:val="18"/>
              </w:rPr>
            </w:pPr>
            <w:r>
              <w:rPr>
                <w:rFonts w:hint="eastAsia"/>
                <w:color w:val="000000"/>
                <w:sz w:val="18"/>
                <w:szCs w:val="18"/>
              </w:rPr>
              <w:t>餐饮业</w:t>
            </w:r>
          </w:p>
        </w:tc>
        <w:tc>
          <w:tcPr>
            <w:tcW w:w="1426" w:type="dxa"/>
            <w:tcBorders>
              <w:top w:val="single" w:color="4F81BD" w:sz="8" w:space="0"/>
              <w:left w:val="single" w:color="4F81BD" w:sz="8" w:space="0"/>
              <w:bottom w:val="single" w:color="4F81BD" w:sz="8" w:space="0"/>
              <w:right w:val="single" w:color="4F81BD" w:sz="8" w:space="0"/>
            </w:tcBorders>
            <w:shd w:val="clear" w:color="auto" w:fill="FFFFFF"/>
            <w:vAlign w:val="center"/>
          </w:tcPr>
          <w:p w14:paraId="22ACDA44">
            <w:pPr>
              <w:widowControl/>
              <w:spacing w:line="360" w:lineRule="auto"/>
              <w:jc w:val="center"/>
              <w:rPr>
                <w:color w:val="000000"/>
                <w:sz w:val="18"/>
                <w:szCs w:val="18"/>
              </w:rPr>
            </w:pPr>
            <w:r>
              <w:rPr>
                <w:rFonts w:hint="eastAsia"/>
                <w:color w:val="000000"/>
                <w:sz w:val="18"/>
                <w:szCs w:val="18"/>
              </w:rPr>
              <w:t>从业人员(X)</w:t>
            </w:r>
          </w:p>
        </w:tc>
        <w:tc>
          <w:tcPr>
            <w:tcW w:w="738" w:type="dxa"/>
            <w:tcBorders>
              <w:top w:val="single" w:color="4F81BD" w:sz="8" w:space="0"/>
              <w:left w:val="single" w:color="4F81BD" w:sz="8" w:space="0"/>
              <w:bottom w:val="single" w:color="4F81BD" w:sz="8" w:space="0"/>
              <w:right w:val="single" w:color="4F81BD" w:sz="8" w:space="0"/>
            </w:tcBorders>
            <w:shd w:val="clear" w:color="auto" w:fill="FFFFFF"/>
            <w:vAlign w:val="center"/>
          </w:tcPr>
          <w:p w14:paraId="26FDEF1A">
            <w:pPr>
              <w:widowControl/>
              <w:spacing w:line="360" w:lineRule="auto"/>
              <w:jc w:val="center"/>
              <w:rPr>
                <w:color w:val="000000"/>
                <w:sz w:val="18"/>
                <w:szCs w:val="18"/>
              </w:rPr>
            </w:pPr>
            <w:r>
              <w:rPr>
                <w:rFonts w:hint="eastAsia"/>
                <w:color w:val="000000"/>
                <w:sz w:val="18"/>
                <w:szCs w:val="18"/>
              </w:rPr>
              <w:t>人</w:t>
            </w:r>
          </w:p>
        </w:tc>
        <w:tc>
          <w:tcPr>
            <w:tcW w:w="1172" w:type="dxa"/>
            <w:tcBorders>
              <w:top w:val="single" w:color="4F81BD" w:sz="8" w:space="0"/>
              <w:left w:val="single" w:color="4F81BD" w:sz="8" w:space="0"/>
              <w:bottom w:val="single" w:color="4F81BD" w:sz="8" w:space="0"/>
              <w:right w:val="single" w:color="4F81BD" w:sz="8" w:space="0"/>
            </w:tcBorders>
            <w:shd w:val="clear" w:color="auto" w:fill="FFFFFF"/>
            <w:vAlign w:val="center"/>
          </w:tcPr>
          <w:p w14:paraId="619217E9">
            <w:pPr>
              <w:widowControl/>
              <w:spacing w:line="360" w:lineRule="auto"/>
              <w:jc w:val="center"/>
              <w:rPr>
                <w:color w:val="000000"/>
                <w:sz w:val="18"/>
                <w:szCs w:val="18"/>
              </w:rPr>
            </w:pPr>
            <w:r>
              <w:rPr>
                <w:rFonts w:hint="eastAsia"/>
                <w:color w:val="000000"/>
                <w:sz w:val="18"/>
                <w:szCs w:val="18"/>
              </w:rPr>
              <w:t>X≥300</w:t>
            </w:r>
          </w:p>
        </w:tc>
        <w:tc>
          <w:tcPr>
            <w:tcW w:w="1773" w:type="dxa"/>
            <w:tcBorders>
              <w:top w:val="single" w:color="4F81BD" w:sz="8" w:space="0"/>
              <w:left w:val="single" w:color="4F81BD" w:sz="8" w:space="0"/>
              <w:bottom w:val="single" w:color="4F81BD" w:sz="8" w:space="0"/>
              <w:right w:val="single" w:color="4F81BD" w:sz="8" w:space="0"/>
            </w:tcBorders>
            <w:shd w:val="clear" w:color="auto" w:fill="FFFFFF"/>
            <w:vAlign w:val="center"/>
          </w:tcPr>
          <w:p w14:paraId="7AFD2408">
            <w:pPr>
              <w:widowControl/>
              <w:spacing w:line="360" w:lineRule="auto"/>
              <w:ind w:left="-4" w:leftChars="-51" w:hanging="108" w:hangingChars="60"/>
              <w:jc w:val="center"/>
              <w:rPr>
                <w:color w:val="000000"/>
                <w:sz w:val="18"/>
                <w:szCs w:val="18"/>
              </w:rPr>
            </w:pPr>
            <w:r>
              <w:rPr>
                <w:rFonts w:hint="eastAsia"/>
                <w:color w:val="000000"/>
                <w:sz w:val="18"/>
                <w:szCs w:val="18"/>
              </w:rPr>
              <w:t xml:space="preserve">100≤X＜300 </w:t>
            </w:r>
          </w:p>
        </w:tc>
        <w:tc>
          <w:tcPr>
            <w:tcW w:w="1485" w:type="dxa"/>
            <w:tcBorders>
              <w:top w:val="single" w:color="4F81BD" w:sz="8" w:space="0"/>
              <w:left w:val="single" w:color="4F81BD" w:sz="8" w:space="0"/>
              <w:bottom w:val="single" w:color="4F81BD" w:sz="8" w:space="0"/>
              <w:right w:val="single" w:color="4F81BD" w:sz="8" w:space="0"/>
            </w:tcBorders>
            <w:shd w:val="clear" w:color="auto" w:fill="FFFFFF"/>
            <w:vAlign w:val="center"/>
          </w:tcPr>
          <w:p w14:paraId="5391EED3">
            <w:pPr>
              <w:widowControl/>
              <w:spacing w:line="360" w:lineRule="auto"/>
              <w:jc w:val="center"/>
              <w:rPr>
                <w:color w:val="000000"/>
                <w:sz w:val="18"/>
                <w:szCs w:val="18"/>
              </w:rPr>
            </w:pPr>
            <w:r>
              <w:rPr>
                <w:rFonts w:hint="eastAsia"/>
                <w:color w:val="000000"/>
                <w:sz w:val="18"/>
                <w:szCs w:val="18"/>
              </w:rPr>
              <w:t xml:space="preserve"> 10≤X＜100</w:t>
            </w:r>
          </w:p>
        </w:tc>
        <w:tc>
          <w:tcPr>
            <w:tcW w:w="1033" w:type="dxa"/>
            <w:tcBorders>
              <w:top w:val="single" w:color="4F81BD" w:sz="8" w:space="0"/>
              <w:left w:val="single" w:color="4F81BD" w:sz="8" w:space="0"/>
              <w:bottom w:val="single" w:color="4F81BD" w:sz="8" w:space="0"/>
              <w:right w:val="single" w:color="4F81BD" w:sz="8" w:space="0"/>
            </w:tcBorders>
            <w:shd w:val="clear" w:color="auto" w:fill="FFFFFF"/>
            <w:vAlign w:val="center"/>
          </w:tcPr>
          <w:p w14:paraId="61F44DF7">
            <w:pPr>
              <w:widowControl/>
              <w:spacing w:line="360" w:lineRule="auto"/>
              <w:jc w:val="center"/>
              <w:rPr>
                <w:color w:val="000000"/>
                <w:sz w:val="18"/>
                <w:szCs w:val="18"/>
              </w:rPr>
            </w:pPr>
            <w:r>
              <w:rPr>
                <w:rFonts w:hint="eastAsia"/>
                <w:color w:val="000000"/>
                <w:sz w:val="18"/>
                <w:szCs w:val="18"/>
              </w:rPr>
              <w:t>X＜10</w:t>
            </w:r>
          </w:p>
        </w:tc>
      </w:tr>
      <w:tr w14:paraId="290E56B1">
        <w:tblPrEx>
          <w:tblCellMar>
            <w:top w:w="0" w:type="dxa"/>
            <w:left w:w="108" w:type="dxa"/>
            <w:bottom w:w="0" w:type="dxa"/>
            <w:right w:w="108" w:type="dxa"/>
          </w:tblCellMar>
        </w:tblPrEx>
        <w:trPr>
          <w:trHeight w:val="421" w:hRule="exact"/>
          <w:jc w:val="center"/>
        </w:trPr>
        <w:tc>
          <w:tcPr>
            <w:tcW w:w="1714" w:type="dxa"/>
            <w:vMerge w:val="continue"/>
            <w:tcBorders>
              <w:top w:val="single" w:color="4F81BD" w:sz="8" w:space="0"/>
              <w:left w:val="single" w:color="4F81BD" w:sz="8" w:space="0"/>
              <w:bottom w:val="single" w:color="4F81BD" w:sz="8" w:space="0"/>
              <w:right w:val="single" w:color="4F81BD" w:sz="8" w:space="0"/>
            </w:tcBorders>
            <w:shd w:val="clear" w:color="auto" w:fill="B8CCE4"/>
            <w:vAlign w:val="center"/>
          </w:tcPr>
          <w:p w14:paraId="5E3A7EF3">
            <w:pPr>
              <w:widowControl/>
              <w:spacing w:line="360" w:lineRule="auto"/>
              <w:jc w:val="center"/>
              <w:rPr>
                <w:color w:val="000000"/>
                <w:sz w:val="18"/>
                <w:szCs w:val="18"/>
              </w:rPr>
            </w:pPr>
          </w:p>
        </w:tc>
        <w:tc>
          <w:tcPr>
            <w:tcW w:w="1426" w:type="dxa"/>
            <w:tcBorders>
              <w:top w:val="single" w:color="4F81BD" w:sz="8" w:space="0"/>
              <w:left w:val="single" w:color="4F81BD" w:sz="8" w:space="0"/>
              <w:bottom w:val="single" w:color="4F81BD" w:sz="8" w:space="0"/>
              <w:right w:val="single" w:color="4F81BD" w:sz="8" w:space="0"/>
            </w:tcBorders>
            <w:shd w:val="clear" w:color="auto" w:fill="B8CCE4"/>
            <w:vAlign w:val="center"/>
          </w:tcPr>
          <w:p w14:paraId="7ED57815">
            <w:pPr>
              <w:widowControl/>
              <w:spacing w:line="360" w:lineRule="auto"/>
              <w:jc w:val="center"/>
              <w:rPr>
                <w:color w:val="000000"/>
                <w:sz w:val="18"/>
                <w:szCs w:val="18"/>
              </w:rPr>
            </w:pPr>
            <w:r>
              <w:rPr>
                <w:rFonts w:hint="eastAsia"/>
                <w:color w:val="000000"/>
                <w:sz w:val="18"/>
                <w:szCs w:val="18"/>
              </w:rPr>
              <w:t>营业收入(Y)</w:t>
            </w:r>
          </w:p>
        </w:tc>
        <w:tc>
          <w:tcPr>
            <w:tcW w:w="738" w:type="dxa"/>
            <w:tcBorders>
              <w:top w:val="single" w:color="4F81BD" w:sz="8" w:space="0"/>
              <w:left w:val="single" w:color="4F81BD" w:sz="8" w:space="0"/>
              <w:bottom w:val="single" w:color="4F81BD" w:sz="8" w:space="0"/>
              <w:right w:val="single" w:color="4F81BD" w:sz="8" w:space="0"/>
            </w:tcBorders>
            <w:shd w:val="clear" w:color="auto" w:fill="B8CCE4"/>
            <w:vAlign w:val="center"/>
          </w:tcPr>
          <w:p w14:paraId="3791961D">
            <w:pPr>
              <w:widowControl/>
              <w:spacing w:line="360" w:lineRule="auto"/>
              <w:jc w:val="center"/>
              <w:rPr>
                <w:color w:val="000000"/>
                <w:sz w:val="18"/>
                <w:szCs w:val="18"/>
              </w:rPr>
            </w:pPr>
            <w:r>
              <w:rPr>
                <w:rFonts w:hint="eastAsia"/>
                <w:color w:val="000000"/>
                <w:sz w:val="18"/>
                <w:szCs w:val="18"/>
              </w:rPr>
              <w:t>万元</w:t>
            </w:r>
          </w:p>
        </w:tc>
        <w:tc>
          <w:tcPr>
            <w:tcW w:w="1172" w:type="dxa"/>
            <w:tcBorders>
              <w:top w:val="single" w:color="4F81BD" w:sz="8" w:space="0"/>
              <w:left w:val="single" w:color="4F81BD" w:sz="8" w:space="0"/>
              <w:bottom w:val="single" w:color="4F81BD" w:sz="8" w:space="0"/>
              <w:right w:val="single" w:color="4F81BD" w:sz="8" w:space="0"/>
            </w:tcBorders>
            <w:shd w:val="clear" w:color="auto" w:fill="B8CCE4"/>
            <w:vAlign w:val="center"/>
          </w:tcPr>
          <w:p w14:paraId="3FA8D5B6">
            <w:pPr>
              <w:widowControl/>
              <w:spacing w:line="360" w:lineRule="auto"/>
              <w:jc w:val="center"/>
              <w:rPr>
                <w:color w:val="000000"/>
                <w:sz w:val="18"/>
                <w:szCs w:val="18"/>
              </w:rPr>
            </w:pPr>
            <w:r>
              <w:rPr>
                <w:rFonts w:hint="eastAsia"/>
                <w:color w:val="000000"/>
                <w:sz w:val="18"/>
                <w:szCs w:val="18"/>
              </w:rPr>
              <w:t>Y≥10000</w:t>
            </w:r>
          </w:p>
        </w:tc>
        <w:tc>
          <w:tcPr>
            <w:tcW w:w="1773" w:type="dxa"/>
            <w:tcBorders>
              <w:top w:val="single" w:color="4F81BD" w:sz="8" w:space="0"/>
              <w:left w:val="single" w:color="4F81BD" w:sz="8" w:space="0"/>
              <w:bottom w:val="single" w:color="4F81BD" w:sz="8" w:space="0"/>
              <w:right w:val="single" w:color="4F81BD" w:sz="8" w:space="0"/>
            </w:tcBorders>
            <w:shd w:val="clear" w:color="auto" w:fill="B8CCE4"/>
            <w:vAlign w:val="center"/>
          </w:tcPr>
          <w:p w14:paraId="1C264797">
            <w:pPr>
              <w:widowControl/>
              <w:spacing w:line="360" w:lineRule="auto"/>
              <w:jc w:val="center"/>
              <w:rPr>
                <w:color w:val="000000"/>
                <w:sz w:val="18"/>
                <w:szCs w:val="18"/>
              </w:rPr>
            </w:pPr>
            <w:r>
              <w:rPr>
                <w:rFonts w:hint="eastAsia"/>
                <w:color w:val="000000"/>
                <w:sz w:val="18"/>
                <w:szCs w:val="18"/>
              </w:rPr>
              <w:t>2000≤Y＜10000</w:t>
            </w:r>
          </w:p>
        </w:tc>
        <w:tc>
          <w:tcPr>
            <w:tcW w:w="1485" w:type="dxa"/>
            <w:tcBorders>
              <w:top w:val="single" w:color="4F81BD" w:sz="8" w:space="0"/>
              <w:left w:val="single" w:color="4F81BD" w:sz="8" w:space="0"/>
              <w:bottom w:val="single" w:color="4F81BD" w:sz="8" w:space="0"/>
              <w:right w:val="single" w:color="4F81BD" w:sz="8" w:space="0"/>
            </w:tcBorders>
            <w:shd w:val="clear" w:color="auto" w:fill="B8CCE4"/>
            <w:vAlign w:val="center"/>
          </w:tcPr>
          <w:p w14:paraId="15C194D4">
            <w:pPr>
              <w:widowControl/>
              <w:spacing w:line="360" w:lineRule="auto"/>
              <w:jc w:val="center"/>
              <w:rPr>
                <w:color w:val="000000"/>
                <w:sz w:val="18"/>
                <w:szCs w:val="18"/>
              </w:rPr>
            </w:pPr>
            <w:r>
              <w:rPr>
                <w:rFonts w:hint="eastAsia"/>
                <w:color w:val="000000"/>
                <w:sz w:val="18"/>
                <w:szCs w:val="18"/>
              </w:rPr>
              <w:t xml:space="preserve"> 100≤Y＜2000</w:t>
            </w:r>
          </w:p>
        </w:tc>
        <w:tc>
          <w:tcPr>
            <w:tcW w:w="1033" w:type="dxa"/>
            <w:tcBorders>
              <w:top w:val="single" w:color="4F81BD" w:sz="8" w:space="0"/>
              <w:left w:val="single" w:color="4F81BD" w:sz="8" w:space="0"/>
              <w:bottom w:val="single" w:color="4F81BD" w:sz="8" w:space="0"/>
              <w:right w:val="single" w:color="4F81BD" w:sz="8" w:space="0"/>
            </w:tcBorders>
            <w:shd w:val="clear" w:color="auto" w:fill="B8CCE4"/>
            <w:vAlign w:val="center"/>
          </w:tcPr>
          <w:p w14:paraId="6F7397E5">
            <w:pPr>
              <w:widowControl/>
              <w:spacing w:line="360" w:lineRule="auto"/>
              <w:jc w:val="center"/>
              <w:rPr>
                <w:color w:val="000000"/>
                <w:sz w:val="18"/>
                <w:szCs w:val="18"/>
              </w:rPr>
            </w:pPr>
            <w:r>
              <w:rPr>
                <w:rFonts w:hint="eastAsia"/>
                <w:color w:val="000000"/>
                <w:sz w:val="18"/>
                <w:szCs w:val="18"/>
              </w:rPr>
              <w:t>Y＜100</w:t>
            </w:r>
          </w:p>
        </w:tc>
      </w:tr>
      <w:tr w14:paraId="673E03E4">
        <w:tblPrEx>
          <w:tblCellMar>
            <w:top w:w="0" w:type="dxa"/>
            <w:left w:w="108" w:type="dxa"/>
            <w:bottom w:w="0" w:type="dxa"/>
            <w:right w:w="108" w:type="dxa"/>
          </w:tblCellMar>
        </w:tblPrEx>
        <w:trPr>
          <w:trHeight w:val="421" w:hRule="exact"/>
          <w:jc w:val="center"/>
        </w:trPr>
        <w:tc>
          <w:tcPr>
            <w:tcW w:w="1714" w:type="dxa"/>
            <w:vMerge w:val="restart"/>
            <w:tcBorders>
              <w:top w:val="single" w:color="4F81BD" w:sz="8" w:space="0"/>
              <w:left w:val="single" w:color="4F81BD" w:sz="8" w:space="0"/>
              <w:bottom w:val="single" w:color="4F81BD" w:sz="8" w:space="0"/>
              <w:right w:val="single" w:color="4F81BD" w:sz="8" w:space="0"/>
            </w:tcBorders>
            <w:shd w:val="clear" w:color="auto" w:fill="FFFFFF"/>
            <w:vAlign w:val="center"/>
          </w:tcPr>
          <w:p w14:paraId="7C0D94C5">
            <w:pPr>
              <w:widowControl/>
              <w:spacing w:line="360" w:lineRule="auto"/>
              <w:jc w:val="center"/>
              <w:rPr>
                <w:color w:val="000000"/>
                <w:sz w:val="18"/>
                <w:szCs w:val="18"/>
              </w:rPr>
            </w:pPr>
            <w:r>
              <w:rPr>
                <w:rFonts w:hint="eastAsia"/>
                <w:color w:val="000000"/>
                <w:sz w:val="18"/>
                <w:szCs w:val="18"/>
              </w:rPr>
              <w:t>信息传输业 *</w:t>
            </w:r>
          </w:p>
        </w:tc>
        <w:tc>
          <w:tcPr>
            <w:tcW w:w="1426" w:type="dxa"/>
            <w:tcBorders>
              <w:top w:val="single" w:color="4F81BD" w:sz="8" w:space="0"/>
              <w:left w:val="single" w:color="4F81BD" w:sz="8" w:space="0"/>
              <w:bottom w:val="single" w:color="4F81BD" w:sz="8" w:space="0"/>
              <w:right w:val="single" w:color="4F81BD" w:sz="8" w:space="0"/>
            </w:tcBorders>
            <w:shd w:val="clear" w:color="auto" w:fill="FFFFFF"/>
            <w:vAlign w:val="center"/>
          </w:tcPr>
          <w:p w14:paraId="2641D782">
            <w:pPr>
              <w:widowControl/>
              <w:spacing w:line="360" w:lineRule="auto"/>
              <w:jc w:val="center"/>
              <w:rPr>
                <w:color w:val="000000"/>
                <w:sz w:val="18"/>
                <w:szCs w:val="18"/>
              </w:rPr>
            </w:pPr>
            <w:r>
              <w:rPr>
                <w:rFonts w:hint="eastAsia"/>
                <w:color w:val="000000"/>
                <w:sz w:val="18"/>
                <w:szCs w:val="18"/>
              </w:rPr>
              <w:t>从业人员(X)</w:t>
            </w:r>
          </w:p>
        </w:tc>
        <w:tc>
          <w:tcPr>
            <w:tcW w:w="738" w:type="dxa"/>
            <w:tcBorders>
              <w:top w:val="single" w:color="4F81BD" w:sz="8" w:space="0"/>
              <w:left w:val="single" w:color="4F81BD" w:sz="8" w:space="0"/>
              <w:bottom w:val="single" w:color="4F81BD" w:sz="8" w:space="0"/>
              <w:right w:val="single" w:color="4F81BD" w:sz="8" w:space="0"/>
            </w:tcBorders>
            <w:shd w:val="clear" w:color="auto" w:fill="FFFFFF"/>
            <w:vAlign w:val="center"/>
          </w:tcPr>
          <w:p w14:paraId="43F13BA1">
            <w:pPr>
              <w:widowControl/>
              <w:spacing w:line="360" w:lineRule="auto"/>
              <w:jc w:val="center"/>
              <w:rPr>
                <w:color w:val="000000"/>
                <w:sz w:val="18"/>
                <w:szCs w:val="18"/>
              </w:rPr>
            </w:pPr>
            <w:r>
              <w:rPr>
                <w:rFonts w:hint="eastAsia"/>
                <w:color w:val="000000"/>
                <w:sz w:val="18"/>
                <w:szCs w:val="18"/>
              </w:rPr>
              <w:t>人</w:t>
            </w:r>
          </w:p>
        </w:tc>
        <w:tc>
          <w:tcPr>
            <w:tcW w:w="1172" w:type="dxa"/>
            <w:tcBorders>
              <w:top w:val="single" w:color="4F81BD" w:sz="8" w:space="0"/>
              <w:left w:val="single" w:color="4F81BD" w:sz="8" w:space="0"/>
              <w:bottom w:val="single" w:color="4F81BD" w:sz="8" w:space="0"/>
              <w:right w:val="single" w:color="4F81BD" w:sz="8" w:space="0"/>
            </w:tcBorders>
            <w:shd w:val="clear" w:color="auto" w:fill="FFFFFF"/>
            <w:vAlign w:val="center"/>
          </w:tcPr>
          <w:p w14:paraId="77FE6ED9">
            <w:pPr>
              <w:widowControl/>
              <w:spacing w:line="360" w:lineRule="auto"/>
              <w:jc w:val="center"/>
              <w:rPr>
                <w:color w:val="000000"/>
                <w:sz w:val="18"/>
                <w:szCs w:val="18"/>
              </w:rPr>
            </w:pPr>
            <w:r>
              <w:rPr>
                <w:rFonts w:hint="eastAsia"/>
                <w:color w:val="000000"/>
                <w:sz w:val="18"/>
                <w:szCs w:val="18"/>
              </w:rPr>
              <w:t>X≥2000</w:t>
            </w:r>
          </w:p>
        </w:tc>
        <w:tc>
          <w:tcPr>
            <w:tcW w:w="1773" w:type="dxa"/>
            <w:tcBorders>
              <w:top w:val="single" w:color="4F81BD" w:sz="8" w:space="0"/>
              <w:left w:val="single" w:color="4F81BD" w:sz="8" w:space="0"/>
              <w:bottom w:val="single" w:color="4F81BD" w:sz="8" w:space="0"/>
              <w:right w:val="single" w:color="4F81BD" w:sz="8" w:space="0"/>
            </w:tcBorders>
            <w:shd w:val="clear" w:color="auto" w:fill="FFFFFF"/>
            <w:vAlign w:val="center"/>
          </w:tcPr>
          <w:p w14:paraId="5C3A9F97">
            <w:pPr>
              <w:widowControl/>
              <w:spacing w:line="360" w:lineRule="auto"/>
              <w:jc w:val="center"/>
              <w:rPr>
                <w:color w:val="000000"/>
                <w:sz w:val="18"/>
                <w:szCs w:val="18"/>
              </w:rPr>
            </w:pPr>
            <w:r>
              <w:rPr>
                <w:rFonts w:hint="eastAsia"/>
                <w:color w:val="000000"/>
                <w:sz w:val="18"/>
                <w:szCs w:val="18"/>
              </w:rPr>
              <w:t>100≤X＜2000</w:t>
            </w:r>
          </w:p>
        </w:tc>
        <w:tc>
          <w:tcPr>
            <w:tcW w:w="1485" w:type="dxa"/>
            <w:tcBorders>
              <w:top w:val="single" w:color="4F81BD" w:sz="8" w:space="0"/>
              <w:left w:val="single" w:color="4F81BD" w:sz="8" w:space="0"/>
              <w:bottom w:val="single" w:color="4F81BD" w:sz="8" w:space="0"/>
              <w:right w:val="single" w:color="4F81BD" w:sz="8" w:space="0"/>
            </w:tcBorders>
            <w:shd w:val="clear" w:color="auto" w:fill="FFFFFF"/>
            <w:vAlign w:val="center"/>
          </w:tcPr>
          <w:p w14:paraId="5B9E5487">
            <w:pPr>
              <w:widowControl/>
              <w:spacing w:line="360" w:lineRule="auto"/>
              <w:jc w:val="center"/>
              <w:rPr>
                <w:color w:val="000000"/>
                <w:sz w:val="18"/>
                <w:szCs w:val="18"/>
              </w:rPr>
            </w:pPr>
            <w:r>
              <w:rPr>
                <w:rFonts w:hint="eastAsia"/>
                <w:color w:val="000000"/>
                <w:sz w:val="18"/>
                <w:szCs w:val="18"/>
              </w:rPr>
              <w:t xml:space="preserve"> 10≤X＜100</w:t>
            </w:r>
          </w:p>
        </w:tc>
        <w:tc>
          <w:tcPr>
            <w:tcW w:w="1033" w:type="dxa"/>
            <w:tcBorders>
              <w:top w:val="single" w:color="4F81BD" w:sz="8" w:space="0"/>
              <w:left w:val="single" w:color="4F81BD" w:sz="8" w:space="0"/>
              <w:bottom w:val="single" w:color="4F81BD" w:sz="8" w:space="0"/>
              <w:right w:val="single" w:color="4F81BD" w:sz="8" w:space="0"/>
            </w:tcBorders>
            <w:shd w:val="clear" w:color="auto" w:fill="FFFFFF"/>
            <w:vAlign w:val="center"/>
          </w:tcPr>
          <w:p w14:paraId="5D3726F8">
            <w:pPr>
              <w:widowControl/>
              <w:spacing w:line="360" w:lineRule="auto"/>
              <w:jc w:val="center"/>
              <w:rPr>
                <w:color w:val="000000"/>
                <w:sz w:val="18"/>
                <w:szCs w:val="18"/>
              </w:rPr>
            </w:pPr>
            <w:r>
              <w:rPr>
                <w:rFonts w:hint="eastAsia"/>
                <w:color w:val="000000"/>
                <w:sz w:val="18"/>
                <w:szCs w:val="18"/>
              </w:rPr>
              <w:t>X＜10</w:t>
            </w:r>
          </w:p>
        </w:tc>
      </w:tr>
      <w:tr w14:paraId="2E86C538">
        <w:tblPrEx>
          <w:tblCellMar>
            <w:top w:w="0" w:type="dxa"/>
            <w:left w:w="108" w:type="dxa"/>
            <w:bottom w:w="0" w:type="dxa"/>
            <w:right w:w="108" w:type="dxa"/>
          </w:tblCellMar>
        </w:tblPrEx>
        <w:trPr>
          <w:trHeight w:val="421" w:hRule="exact"/>
          <w:jc w:val="center"/>
        </w:trPr>
        <w:tc>
          <w:tcPr>
            <w:tcW w:w="1714" w:type="dxa"/>
            <w:vMerge w:val="continue"/>
            <w:tcBorders>
              <w:top w:val="single" w:color="4F81BD" w:sz="8" w:space="0"/>
              <w:left w:val="single" w:color="4F81BD" w:sz="8" w:space="0"/>
              <w:bottom w:val="single" w:color="4F81BD" w:sz="8" w:space="0"/>
              <w:right w:val="single" w:color="4F81BD" w:sz="8" w:space="0"/>
            </w:tcBorders>
            <w:shd w:val="clear" w:color="auto" w:fill="B8CCE4"/>
            <w:vAlign w:val="center"/>
          </w:tcPr>
          <w:p w14:paraId="41CF4B61">
            <w:pPr>
              <w:widowControl/>
              <w:spacing w:line="360" w:lineRule="auto"/>
              <w:jc w:val="center"/>
              <w:rPr>
                <w:color w:val="000000"/>
                <w:sz w:val="18"/>
                <w:szCs w:val="18"/>
              </w:rPr>
            </w:pPr>
          </w:p>
        </w:tc>
        <w:tc>
          <w:tcPr>
            <w:tcW w:w="1426" w:type="dxa"/>
            <w:tcBorders>
              <w:top w:val="single" w:color="4F81BD" w:sz="8" w:space="0"/>
              <w:left w:val="single" w:color="4F81BD" w:sz="8" w:space="0"/>
              <w:bottom w:val="single" w:color="4F81BD" w:sz="8" w:space="0"/>
              <w:right w:val="single" w:color="4F81BD" w:sz="8" w:space="0"/>
            </w:tcBorders>
            <w:shd w:val="clear" w:color="auto" w:fill="B8CCE4"/>
            <w:vAlign w:val="center"/>
          </w:tcPr>
          <w:p w14:paraId="6DD39984">
            <w:pPr>
              <w:widowControl/>
              <w:spacing w:line="360" w:lineRule="auto"/>
              <w:jc w:val="center"/>
              <w:rPr>
                <w:color w:val="000000"/>
                <w:sz w:val="18"/>
                <w:szCs w:val="18"/>
              </w:rPr>
            </w:pPr>
            <w:r>
              <w:rPr>
                <w:rFonts w:hint="eastAsia"/>
                <w:color w:val="000000"/>
                <w:sz w:val="18"/>
                <w:szCs w:val="18"/>
              </w:rPr>
              <w:t>营业收入(Y)</w:t>
            </w:r>
          </w:p>
        </w:tc>
        <w:tc>
          <w:tcPr>
            <w:tcW w:w="738" w:type="dxa"/>
            <w:tcBorders>
              <w:top w:val="single" w:color="4F81BD" w:sz="8" w:space="0"/>
              <w:left w:val="single" w:color="4F81BD" w:sz="8" w:space="0"/>
              <w:bottom w:val="single" w:color="4F81BD" w:sz="8" w:space="0"/>
              <w:right w:val="single" w:color="4F81BD" w:sz="8" w:space="0"/>
            </w:tcBorders>
            <w:shd w:val="clear" w:color="auto" w:fill="B8CCE4"/>
            <w:vAlign w:val="center"/>
          </w:tcPr>
          <w:p w14:paraId="6EB01D37">
            <w:pPr>
              <w:widowControl/>
              <w:spacing w:line="360" w:lineRule="auto"/>
              <w:jc w:val="center"/>
              <w:rPr>
                <w:color w:val="000000"/>
                <w:sz w:val="18"/>
                <w:szCs w:val="18"/>
              </w:rPr>
            </w:pPr>
            <w:r>
              <w:rPr>
                <w:rFonts w:hint="eastAsia"/>
                <w:color w:val="000000"/>
                <w:sz w:val="18"/>
                <w:szCs w:val="18"/>
              </w:rPr>
              <w:t>万元</w:t>
            </w:r>
          </w:p>
        </w:tc>
        <w:tc>
          <w:tcPr>
            <w:tcW w:w="1172" w:type="dxa"/>
            <w:tcBorders>
              <w:top w:val="single" w:color="4F81BD" w:sz="8" w:space="0"/>
              <w:left w:val="single" w:color="4F81BD" w:sz="8" w:space="0"/>
              <w:bottom w:val="single" w:color="4F81BD" w:sz="8" w:space="0"/>
              <w:right w:val="single" w:color="4F81BD" w:sz="8" w:space="0"/>
            </w:tcBorders>
            <w:shd w:val="clear" w:color="auto" w:fill="B8CCE4"/>
            <w:vAlign w:val="center"/>
          </w:tcPr>
          <w:p w14:paraId="6A3F657A">
            <w:pPr>
              <w:widowControl/>
              <w:spacing w:line="360" w:lineRule="auto"/>
              <w:jc w:val="center"/>
              <w:rPr>
                <w:color w:val="000000"/>
                <w:sz w:val="18"/>
                <w:szCs w:val="18"/>
              </w:rPr>
            </w:pPr>
            <w:r>
              <w:rPr>
                <w:rFonts w:hint="eastAsia"/>
                <w:color w:val="000000"/>
                <w:sz w:val="18"/>
                <w:szCs w:val="18"/>
              </w:rPr>
              <w:t>Y≥100000</w:t>
            </w:r>
          </w:p>
        </w:tc>
        <w:tc>
          <w:tcPr>
            <w:tcW w:w="1773" w:type="dxa"/>
            <w:tcBorders>
              <w:top w:val="single" w:color="4F81BD" w:sz="8" w:space="0"/>
              <w:left w:val="single" w:color="4F81BD" w:sz="8" w:space="0"/>
              <w:bottom w:val="single" w:color="4F81BD" w:sz="8" w:space="0"/>
              <w:right w:val="single" w:color="4F81BD" w:sz="8" w:space="0"/>
            </w:tcBorders>
            <w:shd w:val="clear" w:color="auto" w:fill="B8CCE4"/>
            <w:vAlign w:val="center"/>
          </w:tcPr>
          <w:p w14:paraId="7D038AF3">
            <w:pPr>
              <w:widowControl/>
              <w:spacing w:line="360" w:lineRule="auto"/>
              <w:jc w:val="center"/>
              <w:rPr>
                <w:color w:val="000000"/>
                <w:sz w:val="18"/>
                <w:szCs w:val="18"/>
              </w:rPr>
            </w:pPr>
            <w:r>
              <w:rPr>
                <w:rFonts w:hint="eastAsia"/>
                <w:color w:val="000000"/>
                <w:sz w:val="18"/>
                <w:szCs w:val="18"/>
              </w:rPr>
              <w:t xml:space="preserve"> 1000≤Y＜100000</w:t>
            </w:r>
          </w:p>
        </w:tc>
        <w:tc>
          <w:tcPr>
            <w:tcW w:w="1485" w:type="dxa"/>
            <w:tcBorders>
              <w:top w:val="single" w:color="4F81BD" w:sz="8" w:space="0"/>
              <w:left w:val="single" w:color="4F81BD" w:sz="8" w:space="0"/>
              <w:bottom w:val="single" w:color="4F81BD" w:sz="8" w:space="0"/>
              <w:right w:val="single" w:color="4F81BD" w:sz="8" w:space="0"/>
            </w:tcBorders>
            <w:shd w:val="clear" w:color="auto" w:fill="B8CCE4"/>
            <w:vAlign w:val="center"/>
          </w:tcPr>
          <w:p w14:paraId="34784B23">
            <w:pPr>
              <w:widowControl/>
              <w:spacing w:line="360" w:lineRule="auto"/>
              <w:jc w:val="center"/>
              <w:rPr>
                <w:color w:val="000000"/>
                <w:sz w:val="18"/>
                <w:szCs w:val="18"/>
              </w:rPr>
            </w:pPr>
            <w:r>
              <w:rPr>
                <w:rFonts w:hint="eastAsia"/>
                <w:color w:val="000000"/>
                <w:sz w:val="18"/>
                <w:szCs w:val="18"/>
              </w:rPr>
              <w:t xml:space="preserve"> 100≤Y＜1000</w:t>
            </w:r>
          </w:p>
        </w:tc>
        <w:tc>
          <w:tcPr>
            <w:tcW w:w="1033" w:type="dxa"/>
            <w:tcBorders>
              <w:top w:val="single" w:color="4F81BD" w:sz="8" w:space="0"/>
              <w:left w:val="single" w:color="4F81BD" w:sz="8" w:space="0"/>
              <w:bottom w:val="single" w:color="4F81BD" w:sz="8" w:space="0"/>
              <w:right w:val="single" w:color="4F81BD" w:sz="8" w:space="0"/>
            </w:tcBorders>
            <w:shd w:val="clear" w:color="auto" w:fill="B8CCE4"/>
            <w:vAlign w:val="center"/>
          </w:tcPr>
          <w:p w14:paraId="238F79B1">
            <w:pPr>
              <w:widowControl/>
              <w:spacing w:line="360" w:lineRule="auto"/>
              <w:jc w:val="center"/>
              <w:rPr>
                <w:color w:val="000000"/>
                <w:sz w:val="18"/>
                <w:szCs w:val="18"/>
              </w:rPr>
            </w:pPr>
            <w:r>
              <w:rPr>
                <w:rFonts w:hint="eastAsia"/>
                <w:color w:val="000000"/>
                <w:sz w:val="18"/>
                <w:szCs w:val="18"/>
              </w:rPr>
              <w:t>Y＜100</w:t>
            </w:r>
          </w:p>
        </w:tc>
      </w:tr>
      <w:tr w14:paraId="7F4B39A8">
        <w:tblPrEx>
          <w:tblCellMar>
            <w:top w:w="0" w:type="dxa"/>
            <w:left w:w="108" w:type="dxa"/>
            <w:bottom w:w="0" w:type="dxa"/>
            <w:right w:w="108" w:type="dxa"/>
          </w:tblCellMar>
        </w:tblPrEx>
        <w:trPr>
          <w:trHeight w:val="561" w:hRule="exact"/>
          <w:jc w:val="center"/>
        </w:trPr>
        <w:tc>
          <w:tcPr>
            <w:tcW w:w="1714" w:type="dxa"/>
            <w:vMerge w:val="restart"/>
            <w:tcBorders>
              <w:top w:val="single" w:color="4F81BD" w:sz="8" w:space="0"/>
              <w:left w:val="single" w:color="4F81BD" w:sz="8" w:space="0"/>
              <w:bottom w:val="single" w:color="4F81BD" w:sz="8" w:space="0"/>
              <w:right w:val="single" w:color="4F81BD" w:sz="8" w:space="0"/>
            </w:tcBorders>
            <w:shd w:val="clear" w:color="auto" w:fill="FFFFFF"/>
            <w:vAlign w:val="center"/>
          </w:tcPr>
          <w:p w14:paraId="4E596AA5">
            <w:pPr>
              <w:widowControl/>
              <w:spacing w:line="360" w:lineRule="auto"/>
              <w:jc w:val="center"/>
              <w:rPr>
                <w:color w:val="000000"/>
                <w:spacing w:val="-12"/>
                <w:sz w:val="18"/>
                <w:szCs w:val="18"/>
              </w:rPr>
            </w:pPr>
            <w:r>
              <w:rPr>
                <w:rFonts w:hint="eastAsia"/>
                <w:color w:val="000000"/>
                <w:spacing w:val="-12"/>
                <w:sz w:val="18"/>
                <w:szCs w:val="18"/>
              </w:rPr>
              <w:t>软件和信息技术服</w:t>
            </w:r>
            <w:r>
              <w:rPr>
                <w:rFonts w:hint="eastAsia"/>
                <w:color w:val="000000"/>
                <w:sz w:val="18"/>
                <w:szCs w:val="18"/>
              </w:rPr>
              <w:t>务业</w:t>
            </w:r>
          </w:p>
        </w:tc>
        <w:tc>
          <w:tcPr>
            <w:tcW w:w="1426" w:type="dxa"/>
            <w:tcBorders>
              <w:top w:val="single" w:color="4F81BD" w:sz="8" w:space="0"/>
              <w:left w:val="single" w:color="4F81BD" w:sz="8" w:space="0"/>
              <w:bottom w:val="single" w:color="4F81BD" w:sz="8" w:space="0"/>
              <w:right w:val="single" w:color="4F81BD" w:sz="8" w:space="0"/>
            </w:tcBorders>
            <w:shd w:val="clear" w:color="auto" w:fill="FFFFFF"/>
            <w:vAlign w:val="center"/>
          </w:tcPr>
          <w:p w14:paraId="75B2388C">
            <w:pPr>
              <w:widowControl/>
              <w:spacing w:line="360" w:lineRule="auto"/>
              <w:jc w:val="center"/>
              <w:rPr>
                <w:color w:val="000000"/>
                <w:sz w:val="18"/>
                <w:szCs w:val="18"/>
              </w:rPr>
            </w:pPr>
            <w:r>
              <w:rPr>
                <w:rFonts w:hint="eastAsia"/>
                <w:color w:val="000000"/>
                <w:sz w:val="18"/>
                <w:szCs w:val="18"/>
              </w:rPr>
              <w:t>从业人员(X)</w:t>
            </w:r>
          </w:p>
        </w:tc>
        <w:tc>
          <w:tcPr>
            <w:tcW w:w="738" w:type="dxa"/>
            <w:tcBorders>
              <w:top w:val="single" w:color="4F81BD" w:sz="8" w:space="0"/>
              <w:left w:val="single" w:color="4F81BD" w:sz="8" w:space="0"/>
              <w:bottom w:val="single" w:color="4F81BD" w:sz="8" w:space="0"/>
              <w:right w:val="single" w:color="4F81BD" w:sz="8" w:space="0"/>
            </w:tcBorders>
            <w:shd w:val="clear" w:color="auto" w:fill="FFFFFF"/>
            <w:vAlign w:val="center"/>
          </w:tcPr>
          <w:p w14:paraId="0D3F013C">
            <w:pPr>
              <w:widowControl/>
              <w:spacing w:line="360" w:lineRule="auto"/>
              <w:jc w:val="center"/>
              <w:rPr>
                <w:color w:val="000000"/>
                <w:sz w:val="18"/>
                <w:szCs w:val="18"/>
              </w:rPr>
            </w:pPr>
            <w:r>
              <w:rPr>
                <w:rFonts w:hint="eastAsia"/>
                <w:color w:val="000000"/>
                <w:sz w:val="18"/>
                <w:szCs w:val="18"/>
              </w:rPr>
              <w:t>人</w:t>
            </w:r>
          </w:p>
        </w:tc>
        <w:tc>
          <w:tcPr>
            <w:tcW w:w="1172" w:type="dxa"/>
            <w:tcBorders>
              <w:top w:val="single" w:color="4F81BD" w:sz="8" w:space="0"/>
              <w:left w:val="single" w:color="4F81BD" w:sz="8" w:space="0"/>
              <w:bottom w:val="single" w:color="4F81BD" w:sz="8" w:space="0"/>
              <w:right w:val="single" w:color="4F81BD" w:sz="8" w:space="0"/>
            </w:tcBorders>
            <w:shd w:val="clear" w:color="auto" w:fill="FFFFFF"/>
            <w:vAlign w:val="center"/>
          </w:tcPr>
          <w:p w14:paraId="316AE33B">
            <w:pPr>
              <w:widowControl/>
              <w:spacing w:line="360" w:lineRule="auto"/>
              <w:jc w:val="center"/>
              <w:rPr>
                <w:color w:val="000000"/>
                <w:sz w:val="18"/>
                <w:szCs w:val="18"/>
              </w:rPr>
            </w:pPr>
            <w:r>
              <w:rPr>
                <w:rFonts w:hint="eastAsia"/>
                <w:color w:val="000000"/>
                <w:sz w:val="18"/>
                <w:szCs w:val="18"/>
              </w:rPr>
              <w:t>X≥300</w:t>
            </w:r>
          </w:p>
        </w:tc>
        <w:tc>
          <w:tcPr>
            <w:tcW w:w="1773" w:type="dxa"/>
            <w:tcBorders>
              <w:top w:val="single" w:color="4F81BD" w:sz="8" w:space="0"/>
              <w:left w:val="single" w:color="4F81BD" w:sz="8" w:space="0"/>
              <w:bottom w:val="single" w:color="4F81BD" w:sz="8" w:space="0"/>
              <w:right w:val="single" w:color="4F81BD" w:sz="8" w:space="0"/>
            </w:tcBorders>
            <w:shd w:val="clear" w:color="auto" w:fill="FFFFFF"/>
            <w:vAlign w:val="center"/>
          </w:tcPr>
          <w:p w14:paraId="02988D02">
            <w:pPr>
              <w:widowControl/>
              <w:spacing w:line="360" w:lineRule="auto"/>
              <w:ind w:left="-4" w:leftChars="-51" w:hanging="108" w:hangingChars="60"/>
              <w:jc w:val="center"/>
              <w:rPr>
                <w:color w:val="000000"/>
                <w:sz w:val="18"/>
                <w:szCs w:val="18"/>
              </w:rPr>
            </w:pPr>
            <w:r>
              <w:rPr>
                <w:rFonts w:hint="eastAsia"/>
                <w:color w:val="000000"/>
                <w:sz w:val="18"/>
                <w:szCs w:val="18"/>
              </w:rPr>
              <w:t xml:space="preserve">100≤X＜300 </w:t>
            </w:r>
          </w:p>
        </w:tc>
        <w:tc>
          <w:tcPr>
            <w:tcW w:w="1485" w:type="dxa"/>
            <w:tcBorders>
              <w:top w:val="single" w:color="4F81BD" w:sz="8" w:space="0"/>
              <w:left w:val="single" w:color="4F81BD" w:sz="8" w:space="0"/>
              <w:bottom w:val="single" w:color="4F81BD" w:sz="8" w:space="0"/>
              <w:right w:val="single" w:color="4F81BD" w:sz="8" w:space="0"/>
            </w:tcBorders>
            <w:shd w:val="clear" w:color="auto" w:fill="FFFFFF"/>
            <w:vAlign w:val="center"/>
          </w:tcPr>
          <w:p w14:paraId="0FE24BE7">
            <w:pPr>
              <w:widowControl/>
              <w:spacing w:line="360" w:lineRule="auto"/>
              <w:jc w:val="center"/>
              <w:rPr>
                <w:color w:val="000000"/>
                <w:sz w:val="18"/>
                <w:szCs w:val="18"/>
              </w:rPr>
            </w:pPr>
            <w:r>
              <w:rPr>
                <w:rFonts w:hint="eastAsia"/>
                <w:color w:val="000000"/>
                <w:sz w:val="18"/>
                <w:szCs w:val="18"/>
              </w:rPr>
              <w:t xml:space="preserve"> 10≤X＜100</w:t>
            </w:r>
          </w:p>
        </w:tc>
        <w:tc>
          <w:tcPr>
            <w:tcW w:w="1033" w:type="dxa"/>
            <w:tcBorders>
              <w:top w:val="single" w:color="4F81BD" w:sz="8" w:space="0"/>
              <w:left w:val="single" w:color="4F81BD" w:sz="8" w:space="0"/>
              <w:bottom w:val="single" w:color="4F81BD" w:sz="8" w:space="0"/>
              <w:right w:val="single" w:color="4F81BD" w:sz="8" w:space="0"/>
            </w:tcBorders>
            <w:shd w:val="clear" w:color="auto" w:fill="FFFFFF"/>
            <w:vAlign w:val="center"/>
          </w:tcPr>
          <w:p w14:paraId="4F794E20">
            <w:pPr>
              <w:widowControl/>
              <w:spacing w:line="360" w:lineRule="auto"/>
              <w:jc w:val="center"/>
              <w:rPr>
                <w:color w:val="000000"/>
                <w:sz w:val="18"/>
                <w:szCs w:val="18"/>
              </w:rPr>
            </w:pPr>
            <w:r>
              <w:rPr>
                <w:rFonts w:hint="eastAsia"/>
                <w:color w:val="000000"/>
                <w:sz w:val="18"/>
                <w:szCs w:val="18"/>
              </w:rPr>
              <w:t>X＜10</w:t>
            </w:r>
          </w:p>
        </w:tc>
      </w:tr>
      <w:tr w14:paraId="746D59F0">
        <w:tblPrEx>
          <w:tblCellMar>
            <w:top w:w="0" w:type="dxa"/>
            <w:left w:w="108" w:type="dxa"/>
            <w:bottom w:w="0" w:type="dxa"/>
            <w:right w:w="108" w:type="dxa"/>
          </w:tblCellMar>
        </w:tblPrEx>
        <w:trPr>
          <w:trHeight w:val="569" w:hRule="exact"/>
          <w:jc w:val="center"/>
        </w:trPr>
        <w:tc>
          <w:tcPr>
            <w:tcW w:w="1714" w:type="dxa"/>
            <w:vMerge w:val="continue"/>
            <w:tcBorders>
              <w:top w:val="single" w:color="4F81BD" w:sz="8" w:space="0"/>
              <w:left w:val="single" w:color="4F81BD" w:sz="8" w:space="0"/>
              <w:bottom w:val="single" w:color="4F81BD" w:sz="8" w:space="0"/>
              <w:right w:val="single" w:color="4F81BD" w:sz="8" w:space="0"/>
            </w:tcBorders>
            <w:shd w:val="clear" w:color="auto" w:fill="B8CCE4"/>
            <w:vAlign w:val="center"/>
          </w:tcPr>
          <w:p w14:paraId="6AD99316">
            <w:pPr>
              <w:widowControl/>
              <w:spacing w:line="360" w:lineRule="auto"/>
              <w:jc w:val="center"/>
              <w:rPr>
                <w:color w:val="000000"/>
                <w:spacing w:val="-12"/>
                <w:sz w:val="18"/>
                <w:szCs w:val="18"/>
              </w:rPr>
            </w:pPr>
          </w:p>
        </w:tc>
        <w:tc>
          <w:tcPr>
            <w:tcW w:w="1426" w:type="dxa"/>
            <w:tcBorders>
              <w:top w:val="single" w:color="4F81BD" w:sz="8" w:space="0"/>
              <w:left w:val="single" w:color="4F81BD" w:sz="8" w:space="0"/>
              <w:bottom w:val="single" w:color="4F81BD" w:sz="8" w:space="0"/>
              <w:right w:val="single" w:color="4F81BD" w:sz="8" w:space="0"/>
            </w:tcBorders>
            <w:shd w:val="clear" w:color="auto" w:fill="B8CCE4"/>
            <w:vAlign w:val="center"/>
          </w:tcPr>
          <w:p w14:paraId="128EF1C5">
            <w:pPr>
              <w:widowControl/>
              <w:spacing w:line="360" w:lineRule="auto"/>
              <w:jc w:val="center"/>
              <w:rPr>
                <w:color w:val="000000"/>
                <w:sz w:val="18"/>
                <w:szCs w:val="18"/>
              </w:rPr>
            </w:pPr>
            <w:r>
              <w:rPr>
                <w:rFonts w:hint="eastAsia"/>
                <w:color w:val="000000"/>
                <w:sz w:val="18"/>
                <w:szCs w:val="18"/>
              </w:rPr>
              <w:t>营业收入(Y)</w:t>
            </w:r>
          </w:p>
        </w:tc>
        <w:tc>
          <w:tcPr>
            <w:tcW w:w="738" w:type="dxa"/>
            <w:tcBorders>
              <w:top w:val="single" w:color="4F81BD" w:sz="8" w:space="0"/>
              <w:left w:val="single" w:color="4F81BD" w:sz="8" w:space="0"/>
              <w:bottom w:val="single" w:color="4F81BD" w:sz="8" w:space="0"/>
              <w:right w:val="single" w:color="4F81BD" w:sz="8" w:space="0"/>
            </w:tcBorders>
            <w:shd w:val="clear" w:color="auto" w:fill="B8CCE4"/>
            <w:vAlign w:val="center"/>
          </w:tcPr>
          <w:p w14:paraId="3BF4D5C2">
            <w:pPr>
              <w:widowControl/>
              <w:spacing w:line="360" w:lineRule="auto"/>
              <w:jc w:val="center"/>
              <w:rPr>
                <w:color w:val="000000"/>
                <w:sz w:val="18"/>
                <w:szCs w:val="18"/>
              </w:rPr>
            </w:pPr>
            <w:r>
              <w:rPr>
                <w:rFonts w:hint="eastAsia"/>
                <w:color w:val="000000"/>
                <w:sz w:val="18"/>
                <w:szCs w:val="18"/>
              </w:rPr>
              <w:t>万元</w:t>
            </w:r>
          </w:p>
        </w:tc>
        <w:tc>
          <w:tcPr>
            <w:tcW w:w="1172" w:type="dxa"/>
            <w:tcBorders>
              <w:top w:val="single" w:color="4F81BD" w:sz="8" w:space="0"/>
              <w:left w:val="single" w:color="4F81BD" w:sz="8" w:space="0"/>
              <w:bottom w:val="single" w:color="4F81BD" w:sz="8" w:space="0"/>
              <w:right w:val="single" w:color="4F81BD" w:sz="8" w:space="0"/>
            </w:tcBorders>
            <w:shd w:val="clear" w:color="auto" w:fill="B8CCE4"/>
            <w:vAlign w:val="center"/>
          </w:tcPr>
          <w:p w14:paraId="2E18BA99">
            <w:pPr>
              <w:widowControl/>
              <w:spacing w:line="360" w:lineRule="auto"/>
              <w:jc w:val="center"/>
              <w:rPr>
                <w:color w:val="000000"/>
                <w:sz w:val="18"/>
                <w:szCs w:val="18"/>
              </w:rPr>
            </w:pPr>
            <w:r>
              <w:rPr>
                <w:rFonts w:hint="eastAsia"/>
                <w:color w:val="000000"/>
                <w:sz w:val="18"/>
                <w:szCs w:val="18"/>
              </w:rPr>
              <w:t>Y≥10000</w:t>
            </w:r>
          </w:p>
        </w:tc>
        <w:tc>
          <w:tcPr>
            <w:tcW w:w="1773" w:type="dxa"/>
            <w:tcBorders>
              <w:top w:val="single" w:color="4F81BD" w:sz="8" w:space="0"/>
              <w:left w:val="single" w:color="4F81BD" w:sz="8" w:space="0"/>
              <w:bottom w:val="single" w:color="4F81BD" w:sz="8" w:space="0"/>
              <w:right w:val="single" w:color="4F81BD" w:sz="8" w:space="0"/>
            </w:tcBorders>
            <w:shd w:val="clear" w:color="auto" w:fill="B8CCE4"/>
            <w:vAlign w:val="center"/>
          </w:tcPr>
          <w:p w14:paraId="7C871110">
            <w:pPr>
              <w:widowControl/>
              <w:spacing w:line="360" w:lineRule="auto"/>
              <w:jc w:val="center"/>
              <w:rPr>
                <w:color w:val="000000"/>
                <w:sz w:val="18"/>
                <w:szCs w:val="18"/>
              </w:rPr>
            </w:pPr>
            <w:r>
              <w:rPr>
                <w:rFonts w:hint="eastAsia"/>
                <w:color w:val="000000"/>
                <w:sz w:val="18"/>
                <w:szCs w:val="18"/>
              </w:rPr>
              <w:t>1000≤Y＜10000</w:t>
            </w:r>
          </w:p>
        </w:tc>
        <w:tc>
          <w:tcPr>
            <w:tcW w:w="1485" w:type="dxa"/>
            <w:tcBorders>
              <w:top w:val="single" w:color="4F81BD" w:sz="8" w:space="0"/>
              <w:left w:val="single" w:color="4F81BD" w:sz="8" w:space="0"/>
              <w:bottom w:val="single" w:color="4F81BD" w:sz="8" w:space="0"/>
              <w:right w:val="single" w:color="4F81BD" w:sz="8" w:space="0"/>
            </w:tcBorders>
            <w:shd w:val="clear" w:color="auto" w:fill="B8CCE4"/>
            <w:vAlign w:val="center"/>
          </w:tcPr>
          <w:p w14:paraId="50FB560F">
            <w:pPr>
              <w:widowControl/>
              <w:spacing w:line="360" w:lineRule="auto"/>
              <w:jc w:val="center"/>
              <w:rPr>
                <w:color w:val="000000"/>
                <w:sz w:val="18"/>
                <w:szCs w:val="18"/>
              </w:rPr>
            </w:pPr>
            <w:r>
              <w:rPr>
                <w:rFonts w:hint="eastAsia"/>
                <w:color w:val="000000"/>
                <w:sz w:val="18"/>
                <w:szCs w:val="18"/>
              </w:rPr>
              <w:t xml:space="preserve">  50≤Y＜1000</w:t>
            </w:r>
          </w:p>
        </w:tc>
        <w:tc>
          <w:tcPr>
            <w:tcW w:w="1033" w:type="dxa"/>
            <w:tcBorders>
              <w:top w:val="single" w:color="4F81BD" w:sz="8" w:space="0"/>
              <w:left w:val="single" w:color="4F81BD" w:sz="8" w:space="0"/>
              <w:bottom w:val="single" w:color="4F81BD" w:sz="8" w:space="0"/>
              <w:right w:val="single" w:color="4F81BD" w:sz="8" w:space="0"/>
            </w:tcBorders>
            <w:shd w:val="clear" w:color="auto" w:fill="B8CCE4"/>
            <w:vAlign w:val="center"/>
          </w:tcPr>
          <w:p w14:paraId="714BC960">
            <w:pPr>
              <w:widowControl/>
              <w:spacing w:line="360" w:lineRule="auto"/>
              <w:jc w:val="center"/>
              <w:rPr>
                <w:color w:val="000000"/>
                <w:sz w:val="18"/>
                <w:szCs w:val="18"/>
              </w:rPr>
            </w:pPr>
            <w:r>
              <w:rPr>
                <w:rFonts w:hint="eastAsia"/>
                <w:color w:val="000000"/>
                <w:sz w:val="18"/>
                <w:szCs w:val="18"/>
              </w:rPr>
              <w:t>Y＜50</w:t>
            </w:r>
          </w:p>
        </w:tc>
      </w:tr>
      <w:tr w14:paraId="24A90FC2">
        <w:tblPrEx>
          <w:tblCellMar>
            <w:top w:w="0" w:type="dxa"/>
            <w:left w:w="108" w:type="dxa"/>
            <w:bottom w:w="0" w:type="dxa"/>
            <w:right w:w="108" w:type="dxa"/>
          </w:tblCellMar>
        </w:tblPrEx>
        <w:trPr>
          <w:trHeight w:val="421" w:hRule="exact"/>
          <w:jc w:val="center"/>
        </w:trPr>
        <w:tc>
          <w:tcPr>
            <w:tcW w:w="1714" w:type="dxa"/>
            <w:vMerge w:val="restart"/>
            <w:tcBorders>
              <w:top w:val="single" w:color="4F81BD" w:sz="8" w:space="0"/>
              <w:left w:val="single" w:color="4F81BD" w:sz="8" w:space="0"/>
              <w:bottom w:val="single" w:color="4F81BD" w:sz="8" w:space="0"/>
              <w:right w:val="single" w:color="4F81BD" w:sz="8" w:space="0"/>
            </w:tcBorders>
            <w:shd w:val="clear" w:color="auto" w:fill="FFFFFF"/>
            <w:vAlign w:val="center"/>
          </w:tcPr>
          <w:p w14:paraId="5BC7EF2C">
            <w:pPr>
              <w:widowControl/>
              <w:spacing w:line="360" w:lineRule="auto"/>
              <w:jc w:val="center"/>
              <w:rPr>
                <w:color w:val="000000"/>
                <w:sz w:val="18"/>
                <w:szCs w:val="18"/>
              </w:rPr>
            </w:pPr>
            <w:r>
              <w:rPr>
                <w:rFonts w:hint="eastAsia"/>
                <w:color w:val="000000"/>
                <w:sz w:val="18"/>
                <w:szCs w:val="18"/>
              </w:rPr>
              <w:t>房地产开发经营</w:t>
            </w:r>
          </w:p>
        </w:tc>
        <w:tc>
          <w:tcPr>
            <w:tcW w:w="1426" w:type="dxa"/>
            <w:tcBorders>
              <w:top w:val="single" w:color="4F81BD" w:sz="8" w:space="0"/>
              <w:left w:val="single" w:color="4F81BD" w:sz="8" w:space="0"/>
              <w:bottom w:val="single" w:color="4F81BD" w:sz="8" w:space="0"/>
              <w:right w:val="single" w:color="4F81BD" w:sz="8" w:space="0"/>
            </w:tcBorders>
            <w:shd w:val="clear" w:color="auto" w:fill="FFFFFF"/>
            <w:vAlign w:val="center"/>
          </w:tcPr>
          <w:p w14:paraId="4239EB39">
            <w:pPr>
              <w:widowControl/>
              <w:spacing w:line="360" w:lineRule="auto"/>
              <w:jc w:val="center"/>
              <w:rPr>
                <w:color w:val="000000"/>
                <w:sz w:val="18"/>
                <w:szCs w:val="18"/>
              </w:rPr>
            </w:pPr>
            <w:r>
              <w:rPr>
                <w:rFonts w:hint="eastAsia"/>
                <w:color w:val="000000"/>
                <w:sz w:val="18"/>
                <w:szCs w:val="18"/>
              </w:rPr>
              <w:t>营业收入(Y)</w:t>
            </w:r>
          </w:p>
        </w:tc>
        <w:tc>
          <w:tcPr>
            <w:tcW w:w="738" w:type="dxa"/>
            <w:tcBorders>
              <w:top w:val="single" w:color="4F81BD" w:sz="8" w:space="0"/>
              <w:left w:val="single" w:color="4F81BD" w:sz="8" w:space="0"/>
              <w:bottom w:val="single" w:color="4F81BD" w:sz="8" w:space="0"/>
              <w:right w:val="single" w:color="4F81BD" w:sz="8" w:space="0"/>
            </w:tcBorders>
            <w:shd w:val="clear" w:color="auto" w:fill="FFFFFF"/>
            <w:vAlign w:val="center"/>
          </w:tcPr>
          <w:p w14:paraId="0D7C3D62">
            <w:pPr>
              <w:widowControl/>
              <w:spacing w:line="360" w:lineRule="auto"/>
              <w:jc w:val="center"/>
              <w:rPr>
                <w:color w:val="000000"/>
                <w:sz w:val="18"/>
                <w:szCs w:val="18"/>
              </w:rPr>
            </w:pPr>
            <w:r>
              <w:rPr>
                <w:rFonts w:hint="eastAsia"/>
                <w:color w:val="000000"/>
                <w:sz w:val="18"/>
                <w:szCs w:val="18"/>
              </w:rPr>
              <w:t>万元</w:t>
            </w:r>
          </w:p>
        </w:tc>
        <w:tc>
          <w:tcPr>
            <w:tcW w:w="1172" w:type="dxa"/>
            <w:tcBorders>
              <w:top w:val="single" w:color="4F81BD" w:sz="8" w:space="0"/>
              <w:left w:val="single" w:color="4F81BD" w:sz="8" w:space="0"/>
              <w:bottom w:val="single" w:color="4F81BD" w:sz="8" w:space="0"/>
              <w:right w:val="single" w:color="4F81BD" w:sz="8" w:space="0"/>
            </w:tcBorders>
            <w:shd w:val="clear" w:color="auto" w:fill="FFFFFF"/>
            <w:vAlign w:val="center"/>
          </w:tcPr>
          <w:p w14:paraId="7B00212B">
            <w:pPr>
              <w:widowControl/>
              <w:spacing w:line="360" w:lineRule="auto"/>
              <w:jc w:val="center"/>
              <w:rPr>
                <w:color w:val="000000"/>
                <w:sz w:val="18"/>
                <w:szCs w:val="18"/>
              </w:rPr>
            </w:pPr>
            <w:r>
              <w:rPr>
                <w:rFonts w:hint="eastAsia"/>
                <w:color w:val="000000"/>
                <w:sz w:val="18"/>
                <w:szCs w:val="18"/>
              </w:rPr>
              <w:t>Y≥200000</w:t>
            </w:r>
          </w:p>
        </w:tc>
        <w:tc>
          <w:tcPr>
            <w:tcW w:w="1773" w:type="dxa"/>
            <w:tcBorders>
              <w:top w:val="single" w:color="4F81BD" w:sz="8" w:space="0"/>
              <w:left w:val="single" w:color="4F81BD" w:sz="8" w:space="0"/>
              <w:bottom w:val="single" w:color="4F81BD" w:sz="8" w:space="0"/>
              <w:right w:val="single" w:color="4F81BD" w:sz="8" w:space="0"/>
            </w:tcBorders>
            <w:shd w:val="clear" w:color="auto" w:fill="FFFFFF"/>
            <w:vAlign w:val="center"/>
          </w:tcPr>
          <w:p w14:paraId="1DD3FF91">
            <w:pPr>
              <w:widowControl/>
              <w:spacing w:line="360" w:lineRule="auto"/>
              <w:jc w:val="center"/>
              <w:rPr>
                <w:color w:val="000000"/>
                <w:sz w:val="18"/>
                <w:szCs w:val="18"/>
              </w:rPr>
            </w:pPr>
            <w:r>
              <w:rPr>
                <w:rFonts w:hint="eastAsia"/>
                <w:color w:val="000000"/>
                <w:sz w:val="18"/>
                <w:szCs w:val="18"/>
              </w:rPr>
              <w:t xml:space="preserve"> 1000≤Y＜200000</w:t>
            </w:r>
          </w:p>
        </w:tc>
        <w:tc>
          <w:tcPr>
            <w:tcW w:w="1485" w:type="dxa"/>
            <w:tcBorders>
              <w:top w:val="single" w:color="4F81BD" w:sz="8" w:space="0"/>
              <w:left w:val="single" w:color="4F81BD" w:sz="8" w:space="0"/>
              <w:bottom w:val="single" w:color="4F81BD" w:sz="8" w:space="0"/>
              <w:right w:val="single" w:color="4F81BD" w:sz="8" w:space="0"/>
            </w:tcBorders>
            <w:shd w:val="clear" w:color="auto" w:fill="FFFFFF"/>
            <w:vAlign w:val="center"/>
          </w:tcPr>
          <w:p w14:paraId="2DA81D87">
            <w:pPr>
              <w:widowControl/>
              <w:spacing w:line="360" w:lineRule="auto"/>
              <w:jc w:val="center"/>
              <w:rPr>
                <w:color w:val="000000"/>
                <w:sz w:val="18"/>
                <w:szCs w:val="18"/>
              </w:rPr>
            </w:pPr>
            <w:r>
              <w:rPr>
                <w:rFonts w:hint="eastAsia"/>
                <w:color w:val="000000"/>
                <w:sz w:val="18"/>
                <w:szCs w:val="18"/>
              </w:rPr>
              <w:t xml:space="preserve"> 100≤Y＜1000</w:t>
            </w:r>
          </w:p>
        </w:tc>
        <w:tc>
          <w:tcPr>
            <w:tcW w:w="1033" w:type="dxa"/>
            <w:tcBorders>
              <w:top w:val="single" w:color="4F81BD" w:sz="8" w:space="0"/>
              <w:left w:val="single" w:color="4F81BD" w:sz="8" w:space="0"/>
              <w:bottom w:val="single" w:color="4F81BD" w:sz="8" w:space="0"/>
              <w:right w:val="single" w:color="4F81BD" w:sz="8" w:space="0"/>
            </w:tcBorders>
            <w:shd w:val="clear" w:color="auto" w:fill="FFFFFF"/>
            <w:vAlign w:val="center"/>
          </w:tcPr>
          <w:p w14:paraId="18B4CDBB">
            <w:pPr>
              <w:widowControl/>
              <w:spacing w:line="360" w:lineRule="auto"/>
              <w:jc w:val="center"/>
              <w:rPr>
                <w:color w:val="000000"/>
                <w:sz w:val="18"/>
                <w:szCs w:val="18"/>
              </w:rPr>
            </w:pPr>
            <w:r>
              <w:rPr>
                <w:rFonts w:hint="eastAsia"/>
                <w:color w:val="000000"/>
                <w:sz w:val="18"/>
                <w:szCs w:val="18"/>
              </w:rPr>
              <w:t>Y＜100</w:t>
            </w:r>
          </w:p>
        </w:tc>
      </w:tr>
      <w:tr w14:paraId="7C694831">
        <w:tblPrEx>
          <w:tblCellMar>
            <w:top w:w="0" w:type="dxa"/>
            <w:left w:w="108" w:type="dxa"/>
            <w:bottom w:w="0" w:type="dxa"/>
            <w:right w:w="108" w:type="dxa"/>
          </w:tblCellMar>
        </w:tblPrEx>
        <w:trPr>
          <w:trHeight w:val="555" w:hRule="exact"/>
          <w:jc w:val="center"/>
        </w:trPr>
        <w:tc>
          <w:tcPr>
            <w:tcW w:w="1714" w:type="dxa"/>
            <w:vMerge w:val="continue"/>
            <w:tcBorders>
              <w:top w:val="single" w:color="4F81BD" w:sz="8" w:space="0"/>
              <w:left w:val="single" w:color="4F81BD" w:sz="8" w:space="0"/>
              <w:bottom w:val="single" w:color="4F81BD" w:sz="8" w:space="0"/>
              <w:right w:val="single" w:color="4F81BD" w:sz="8" w:space="0"/>
            </w:tcBorders>
            <w:shd w:val="clear" w:color="auto" w:fill="B8CCE4"/>
            <w:vAlign w:val="center"/>
          </w:tcPr>
          <w:p w14:paraId="538D3AF1">
            <w:pPr>
              <w:widowControl/>
              <w:spacing w:line="360" w:lineRule="auto"/>
              <w:jc w:val="center"/>
              <w:rPr>
                <w:color w:val="000000"/>
                <w:sz w:val="18"/>
                <w:szCs w:val="18"/>
              </w:rPr>
            </w:pPr>
          </w:p>
        </w:tc>
        <w:tc>
          <w:tcPr>
            <w:tcW w:w="1426" w:type="dxa"/>
            <w:tcBorders>
              <w:top w:val="single" w:color="4F81BD" w:sz="8" w:space="0"/>
              <w:left w:val="single" w:color="4F81BD" w:sz="8" w:space="0"/>
              <w:bottom w:val="single" w:color="4F81BD" w:sz="8" w:space="0"/>
              <w:right w:val="single" w:color="4F81BD" w:sz="8" w:space="0"/>
            </w:tcBorders>
            <w:shd w:val="clear" w:color="auto" w:fill="B8CCE4"/>
            <w:vAlign w:val="center"/>
          </w:tcPr>
          <w:p w14:paraId="4B0A6F6F">
            <w:pPr>
              <w:widowControl/>
              <w:spacing w:line="360" w:lineRule="auto"/>
              <w:jc w:val="center"/>
              <w:rPr>
                <w:color w:val="000000"/>
                <w:sz w:val="18"/>
                <w:szCs w:val="18"/>
              </w:rPr>
            </w:pPr>
            <w:r>
              <w:rPr>
                <w:rFonts w:hint="eastAsia"/>
                <w:color w:val="000000"/>
                <w:sz w:val="18"/>
                <w:szCs w:val="18"/>
              </w:rPr>
              <w:t>资产总额(Z)</w:t>
            </w:r>
          </w:p>
        </w:tc>
        <w:tc>
          <w:tcPr>
            <w:tcW w:w="738" w:type="dxa"/>
            <w:tcBorders>
              <w:top w:val="single" w:color="4F81BD" w:sz="8" w:space="0"/>
              <w:left w:val="single" w:color="4F81BD" w:sz="8" w:space="0"/>
              <w:bottom w:val="single" w:color="4F81BD" w:sz="8" w:space="0"/>
              <w:right w:val="single" w:color="4F81BD" w:sz="8" w:space="0"/>
            </w:tcBorders>
            <w:shd w:val="clear" w:color="auto" w:fill="B8CCE4"/>
            <w:vAlign w:val="center"/>
          </w:tcPr>
          <w:p w14:paraId="0EC14CB8">
            <w:pPr>
              <w:widowControl/>
              <w:spacing w:line="360" w:lineRule="auto"/>
              <w:jc w:val="center"/>
              <w:rPr>
                <w:color w:val="000000"/>
                <w:sz w:val="18"/>
                <w:szCs w:val="18"/>
              </w:rPr>
            </w:pPr>
            <w:r>
              <w:rPr>
                <w:rFonts w:hint="eastAsia"/>
                <w:color w:val="000000"/>
                <w:sz w:val="18"/>
                <w:szCs w:val="18"/>
              </w:rPr>
              <w:t>万元</w:t>
            </w:r>
          </w:p>
        </w:tc>
        <w:tc>
          <w:tcPr>
            <w:tcW w:w="1172" w:type="dxa"/>
            <w:tcBorders>
              <w:top w:val="single" w:color="4F81BD" w:sz="8" w:space="0"/>
              <w:left w:val="single" w:color="4F81BD" w:sz="8" w:space="0"/>
              <w:bottom w:val="single" w:color="4F81BD" w:sz="8" w:space="0"/>
              <w:right w:val="single" w:color="4F81BD" w:sz="8" w:space="0"/>
            </w:tcBorders>
            <w:shd w:val="clear" w:color="auto" w:fill="B8CCE4"/>
            <w:vAlign w:val="center"/>
          </w:tcPr>
          <w:p w14:paraId="3D2BBB77">
            <w:pPr>
              <w:widowControl/>
              <w:spacing w:line="360" w:lineRule="auto"/>
              <w:jc w:val="center"/>
              <w:rPr>
                <w:color w:val="000000"/>
                <w:sz w:val="18"/>
                <w:szCs w:val="18"/>
              </w:rPr>
            </w:pPr>
            <w:r>
              <w:rPr>
                <w:rFonts w:hint="eastAsia"/>
                <w:color w:val="000000"/>
                <w:sz w:val="18"/>
                <w:szCs w:val="18"/>
              </w:rPr>
              <w:t>Z≥10000</w:t>
            </w:r>
          </w:p>
        </w:tc>
        <w:tc>
          <w:tcPr>
            <w:tcW w:w="1773" w:type="dxa"/>
            <w:tcBorders>
              <w:top w:val="single" w:color="4F81BD" w:sz="8" w:space="0"/>
              <w:left w:val="single" w:color="4F81BD" w:sz="8" w:space="0"/>
              <w:bottom w:val="single" w:color="4F81BD" w:sz="8" w:space="0"/>
              <w:right w:val="single" w:color="4F81BD" w:sz="8" w:space="0"/>
            </w:tcBorders>
            <w:shd w:val="clear" w:color="auto" w:fill="B8CCE4"/>
            <w:vAlign w:val="center"/>
          </w:tcPr>
          <w:p w14:paraId="0ECBC52A">
            <w:pPr>
              <w:widowControl/>
              <w:spacing w:line="360" w:lineRule="auto"/>
              <w:jc w:val="center"/>
              <w:rPr>
                <w:color w:val="000000"/>
                <w:sz w:val="18"/>
                <w:szCs w:val="18"/>
              </w:rPr>
            </w:pPr>
            <w:r>
              <w:rPr>
                <w:rFonts w:hint="eastAsia"/>
                <w:color w:val="000000"/>
                <w:sz w:val="18"/>
                <w:szCs w:val="18"/>
              </w:rPr>
              <w:t>5000≤Z＜10000</w:t>
            </w:r>
          </w:p>
        </w:tc>
        <w:tc>
          <w:tcPr>
            <w:tcW w:w="1485" w:type="dxa"/>
            <w:tcBorders>
              <w:top w:val="single" w:color="4F81BD" w:sz="8" w:space="0"/>
              <w:left w:val="single" w:color="4F81BD" w:sz="8" w:space="0"/>
              <w:bottom w:val="single" w:color="4F81BD" w:sz="8" w:space="0"/>
              <w:right w:val="single" w:color="4F81BD" w:sz="8" w:space="0"/>
            </w:tcBorders>
            <w:shd w:val="clear" w:color="auto" w:fill="B8CCE4"/>
            <w:vAlign w:val="center"/>
          </w:tcPr>
          <w:p w14:paraId="041C7C11">
            <w:pPr>
              <w:widowControl/>
              <w:spacing w:line="360" w:lineRule="auto"/>
              <w:jc w:val="center"/>
              <w:rPr>
                <w:color w:val="000000"/>
                <w:sz w:val="18"/>
                <w:szCs w:val="18"/>
              </w:rPr>
            </w:pPr>
            <w:r>
              <w:rPr>
                <w:rFonts w:hint="eastAsia"/>
                <w:color w:val="000000"/>
                <w:sz w:val="18"/>
                <w:szCs w:val="18"/>
              </w:rPr>
              <w:t xml:space="preserve">2000≤Z＜5000   </w:t>
            </w:r>
          </w:p>
        </w:tc>
        <w:tc>
          <w:tcPr>
            <w:tcW w:w="1033" w:type="dxa"/>
            <w:tcBorders>
              <w:top w:val="single" w:color="4F81BD" w:sz="8" w:space="0"/>
              <w:left w:val="single" w:color="4F81BD" w:sz="8" w:space="0"/>
              <w:bottom w:val="single" w:color="4F81BD" w:sz="8" w:space="0"/>
              <w:right w:val="single" w:color="4F81BD" w:sz="8" w:space="0"/>
            </w:tcBorders>
            <w:shd w:val="clear" w:color="auto" w:fill="B8CCE4"/>
            <w:vAlign w:val="center"/>
          </w:tcPr>
          <w:p w14:paraId="254B0D3D">
            <w:pPr>
              <w:widowControl/>
              <w:spacing w:line="360" w:lineRule="auto"/>
              <w:jc w:val="center"/>
              <w:rPr>
                <w:color w:val="000000"/>
                <w:sz w:val="18"/>
                <w:szCs w:val="18"/>
              </w:rPr>
            </w:pPr>
            <w:r>
              <w:rPr>
                <w:rFonts w:hint="eastAsia"/>
                <w:color w:val="000000"/>
                <w:sz w:val="18"/>
                <w:szCs w:val="18"/>
              </w:rPr>
              <w:t>Z＜2000</w:t>
            </w:r>
          </w:p>
        </w:tc>
      </w:tr>
      <w:tr w14:paraId="7D39F335">
        <w:tblPrEx>
          <w:tblCellMar>
            <w:top w:w="0" w:type="dxa"/>
            <w:left w:w="108" w:type="dxa"/>
            <w:bottom w:w="0" w:type="dxa"/>
            <w:right w:w="108" w:type="dxa"/>
          </w:tblCellMar>
        </w:tblPrEx>
        <w:trPr>
          <w:trHeight w:val="421" w:hRule="exact"/>
          <w:jc w:val="center"/>
        </w:trPr>
        <w:tc>
          <w:tcPr>
            <w:tcW w:w="1714" w:type="dxa"/>
            <w:vMerge w:val="restart"/>
            <w:tcBorders>
              <w:top w:val="single" w:color="4F81BD" w:sz="8" w:space="0"/>
              <w:left w:val="single" w:color="4F81BD" w:sz="8" w:space="0"/>
              <w:bottom w:val="single" w:color="4F81BD" w:sz="8" w:space="0"/>
              <w:right w:val="single" w:color="4F81BD" w:sz="8" w:space="0"/>
            </w:tcBorders>
            <w:shd w:val="clear" w:color="auto" w:fill="FFFFFF"/>
            <w:vAlign w:val="center"/>
          </w:tcPr>
          <w:p w14:paraId="28A9B091">
            <w:pPr>
              <w:widowControl/>
              <w:spacing w:line="360" w:lineRule="auto"/>
              <w:jc w:val="center"/>
              <w:rPr>
                <w:color w:val="000000"/>
                <w:sz w:val="18"/>
                <w:szCs w:val="18"/>
              </w:rPr>
            </w:pPr>
            <w:r>
              <w:rPr>
                <w:rFonts w:hint="eastAsia"/>
                <w:color w:val="000000"/>
                <w:sz w:val="18"/>
                <w:szCs w:val="18"/>
              </w:rPr>
              <w:t>物业管理</w:t>
            </w:r>
          </w:p>
        </w:tc>
        <w:tc>
          <w:tcPr>
            <w:tcW w:w="1426" w:type="dxa"/>
            <w:tcBorders>
              <w:top w:val="single" w:color="4F81BD" w:sz="8" w:space="0"/>
              <w:left w:val="single" w:color="4F81BD" w:sz="8" w:space="0"/>
              <w:bottom w:val="single" w:color="4F81BD" w:sz="8" w:space="0"/>
              <w:right w:val="single" w:color="4F81BD" w:sz="8" w:space="0"/>
            </w:tcBorders>
            <w:shd w:val="clear" w:color="auto" w:fill="FFFFFF"/>
            <w:vAlign w:val="center"/>
          </w:tcPr>
          <w:p w14:paraId="04E15DD1">
            <w:pPr>
              <w:widowControl/>
              <w:spacing w:line="360" w:lineRule="auto"/>
              <w:jc w:val="center"/>
              <w:rPr>
                <w:color w:val="000000"/>
                <w:sz w:val="18"/>
                <w:szCs w:val="18"/>
              </w:rPr>
            </w:pPr>
            <w:r>
              <w:rPr>
                <w:rFonts w:hint="eastAsia"/>
                <w:color w:val="000000"/>
                <w:sz w:val="18"/>
                <w:szCs w:val="18"/>
              </w:rPr>
              <w:t>从业人员(X)</w:t>
            </w:r>
          </w:p>
        </w:tc>
        <w:tc>
          <w:tcPr>
            <w:tcW w:w="738" w:type="dxa"/>
            <w:tcBorders>
              <w:top w:val="single" w:color="4F81BD" w:sz="8" w:space="0"/>
              <w:left w:val="single" w:color="4F81BD" w:sz="8" w:space="0"/>
              <w:bottom w:val="single" w:color="4F81BD" w:sz="8" w:space="0"/>
              <w:right w:val="single" w:color="4F81BD" w:sz="8" w:space="0"/>
            </w:tcBorders>
            <w:shd w:val="clear" w:color="auto" w:fill="FFFFFF"/>
            <w:vAlign w:val="center"/>
          </w:tcPr>
          <w:p w14:paraId="1E05EDDF">
            <w:pPr>
              <w:widowControl/>
              <w:spacing w:line="360" w:lineRule="auto"/>
              <w:jc w:val="center"/>
              <w:rPr>
                <w:color w:val="000000"/>
                <w:sz w:val="18"/>
                <w:szCs w:val="18"/>
              </w:rPr>
            </w:pPr>
            <w:r>
              <w:rPr>
                <w:rFonts w:hint="eastAsia"/>
                <w:color w:val="000000"/>
                <w:sz w:val="18"/>
                <w:szCs w:val="18"/>
              </w:rPr>
              <w:t>人</w:t>
            </w:r>
          </w:p>
        </w:tc>
        <w:tc>
          <w:tcPr>
            <w:tcW w:w="1172" w:type="dxa"/>
            <w:tcBorders>
              <w:top w:val="single" w:color="4F81BD" w:sz="8" w:space="0"/>
              <w:left w:val="single" w:color="4F81BD" w:sz="8" w:space="0"/>
              <w:bottom w:val="single" w:color="4F81BD" w:sz="8" w:space="0"/>
              <w:right w:val="single" w:color="4F81BD" w:sz="8" w:space="0"/>
            </w:tcBorders>
            <w:shd w:val="clear" w:color="auto" w:fill="FFFFFF"/>
            <w:vAlign w:val="center"/>
          </w:tcPr>
          <w:p w14:paraId="2DCD9156">
            <w:pPr>
              <w:widowControl/>
              <w:spacing w:line="360" w:lineRule="auto"/>
              <w:jc w:val="center"/>
              <w:rPr>
                <w:color w:val="000000"/>
                <w:sz w:val="18"/>
                <w:szCs w:val="18"/>
              </w:rPr>
            </w:pPr>
            <w:r>
              <w:rPr>
                <w:rFonts w:hint="eastAsia"/>
                <w:color w:val="000000"/>
                <w:sz w:val="18"/>
                <w:szCs w:val="18"/>
              </w:rPr>
              <w:t>X≥1000</w:t>
            </w:r>
          </w:p>
        </w:tc>
        <w:tc>
          <w:tcPr>
            <w:tcW w:w="1773" w:type="dxa"/>
            <w:tcBorders>
              <w:top w:val="single" w:color="4F81BD" w:sz="8" w:space="0"/>
              <w:left w:val="single" w:color="4F81BD" w:sz="8" w:space="0"/>
              <w:bottom w:val="single" w:color="4F81BD" w:sz="8" w:space="0"/>
              <w:right w:val="single" w:color="4F81BD" w:sz="8" w:space="0"/>
            </w:tcBorders>
            <w:shd w:val="clear" w:color="auto" w:fill="FFFFFF"/>
            <w:vAlign w:val="center"/>
          </w:tcPr>
          <w:p w14:paraId="1FD5DA7D">
            <w:pPr>
              <w:widowControl/>
              <w:spacing w:line="360" w:lineRule="auto"/>
              <w:jc w:val="center"/>
              <w:rPr>
                <w:color w:val="000000"/>
                <w:sz w:val="18"/>
                <w:szCs w:val="18"/>
              </w:rPr>
            </w:pPr>
            <w:r>
              <w:rPr>
                <w:rFonts w:hint="eastAsia"/>
                <w:color w:val="000000"/>
                <w:sz w:val="18"/>
                <w:szCs w:val="18"/>
              </w:rPr>
              <w:t>300≤X＜1000</w:t>
            </w:r>
          </w:p>
        </w:tc>
        <w:tc>
          <w:tcPr>
            <w:tcW w:w="1485" w:type="dxa"/>
            <w:tcBorders>
              <w:top w:val="single" w:color="4F81BD" w:sz="8" w:space="0"/>
              <w:left w:val="single" w:color="4F81BD" w:sz="8" w:space="0"/>
              <w:bottom w:val="single" w:color="4F81BD" w:sz="8" w:space="0"/>
              <w:right w:val="single" w:color="4F81BD" w:sz="8" w:space="0"/>
            </w:tcBorders>
            <w:shd w:val="clear" w:color="auto" w:fill="FFFFFF"/>
            <w:vAlign w:val="center"/>
          </w:tcPr>
          <w:p w14:paraId="7B4BC3BA">
            <w:pPr>
              <w:widowControl/>
              <w:spacing w:line="360" w:lineRule="auto"/>
              <w:jc w:val="center"/>
              <w:rPr>
                <w:color w:val="000000"/>
                <w:sz w:val="18"/>
                <w:szCs w:val="18"/>
              </w:rPr>
            </w:pPr>
            <w:r>
              <w:rPr>
                <w:rFonts w:hint="eastAsia"/>
                <w:color w:val="000000"/>
                <w:sz w:val="18"/>
                <w:szCs w:val="18"/>
              </w:rPr>
              <w:t xml:space="preserve">100≤X＜300 </w:t>
            </w:r>
          </w:p>
        </w:tc>
        <w:tc>
          <w:tcPr>
            <w:tcW w:w="1033" w:type="dxa"/>
            <w:tcBorders>
              <w:top w:val="single" w:color="4F81BD" w:sz="8" w:space="0"/>
              <w:left w:val="single" w:color="4F81BD" w:sz="8" w:space="0"/>
              <w:bottom w:val="single" w:color="4F81BD" w:sz="8" w:space="0"/>
              <w:right w:val="single" w:color="4F81BD" w:sz="8" w:space="0"/>
            </w:tcBorders>
            <w:shd w:val="clear" w:color="auto" w:fill="FFFFFF"/>
            <w:vAlign w:val="center"/>
          </w:tcPr>
          <w:p w14:paraId="54CFB7B1">
            <w:pPr>
              <w:widowControl/>
              <w:spacing w:line="360" w:lineRule="auto"/>
              <w:jc w:val="center"/>
              <w:rPr>
                <w:color w:val="000000"/>
                <w:sz w:val="18"/>
                <w:szCs w:val="18"/>
              </w:rPr>
            </w:pPr>
            <w:r>
              <w:rPr>
                <w:rFonts w:hint="eastAsia"/>
                <w:color w:val="000000"/>
                <w:sz w:val="18"/>
                <w:szCs w:val="18"/>
              </w:rPr>
              <w:t>X＜100</w:t>
            </w:r>
          </w:p>
        </w:tc>
      </w:tr>
      <w:tr w14:paraId="77362B14">
        <w:tblPrEx>
          <w:tblCellMar>
            <w:top w:w="0" w:type="dxa"/>
            <w:left w:w="108" w:type="dxa"/>
            <w:bottom w:w="0" w:type="dxa"/>
            <w:right w:w="108" w:type="dxa"/>
          </w:tblCellMar>
        </w:tblPrEx>
        <w:trPr>
          <w:trHeight w:val="568" w:hRule="exact"/>
          <w:jc w:val="center"/>
        </w:trPr>
        <w:tc>
          <w:tcPr>
            <w:tcW w:w="1714" w:type="dxa"/>
            <w:vMerge w:val="continue"/>
            <w:tcBorders>
              <w:top w:val="single" w:color="4F81BD" w:sz="8" w:space="0"/>
              <w:left w:val="single" w:color="4F81BD" w:sz="8" w:space="0"/>
              <w:bottom w:val="single" w:color="4F81BD" w:sz="8" w:space="0"/>
              <w:right w:val="single" w:color="4F81BD" w:sz="8" w:space="0"/>
            </w:tcBorders>
            <w:shd w:val="clear" w:color="auto" w:fill="B8CCE4"/>
            <w:vAlign w:val="center"/>
          </w:tcPr>
          <w:p w14:paraId="5F5C27CE">
            <w:pPr>
              <w:widowControl/>
              <w:spacing w:line="360" w:lineRule="auto"/>
              <w:jc w:val="center"/>
              <w:rPr>
                <w:color w:val="000000"/>
                <w:sz w:val="18"/>
                <w:szCs w:val="18"/>
              </w:rPr>
            </w:pPr>
          </w:p>
        </w:tc>
        <w:tc>
          <w:tcPr>
            <w:tcW w:w="1426" w:type="dxa"/>
            <w:tcBorders>
              <w:top w:val="single" w:color="4F81BD" w:sz="8" w:space="0"/>
              <w:left w:val="single" w:color="4F81BD" w:sz="8" w:space="0"/>
              <w:bottom w:val="single" w:color="4F81BD" w:sz="8" w:space="0"/>
              <w:right w:val="single" w:color="4F81BD" w:sz="8" w:space="0"/>
            </w:tcBorders>
            <w:shd w:val="clear" w:color="auto" w:fill="B8CCE4"/>
            <w:vAlign w:val="center"/>
          </w:tcPr>
          <w:p w14:paraId="0B68D9ED">
            <w:pPr>
              <w:widowControl/>
              <w:spacing w:line="360" w:lineRule="auto"/>
              <w:jc w:val="center"/>
              <w:rPr>
                <w:color w:val="000000"/>
                <w:sz w:val="18"/>
                <w:szCs w:val="18"/>
              </w:rPr>
            </w:pPr>
            <w:r>
              <w:rPr>
                <w:rFonts w:hint="eastAsia"/>
                <w:color w:val="000000"/>
                <w:sz w:val="18"/>
                <w:szCs w:val="18"/>
              </w:rPr>
              <w:t>营业收入(Y)</w:t>
            </w:r>
          </w:p>
        </w:tc>
        <w:tc>
          <w:tcPr>
            <w:tcW w:w="738" w:type="dxa"/>
            <w:tcBorders>
              <w:top w:val="single" w:color="4F81BD" w:sz="8" w:space="0"/>
              <w:left w:val="single" w:color="4F81BD" w:sz="8" w:space="0"/>
              <w:bottom w:val="single" w:color="4F81BD" w:sz="8" w:space="0"/>
              <w:right w:val="single" w:color="4F81BD" w:sz="8" w:space="0"/>
            </w:tcBorders>
            <w:shd w:val="clear" w:color="auto" w:fill="B8CCE4"/>
            <w:vAlign w:val="center"/>
          </w:tcPr>
          <w:p w14:paraId="300550F1">
            <w:pPr>
              <w:widowControl/>
              <w:spacing w:line="360" w:lineRule="auto"/>
              <w:jc w:val="center"/>
              <w:rPr>
                <w:color w:val="000000"/>
                <w:sz w:val="18"/>
                <w:szCs w:val="18"/>
              </w:rPr>
            </w:pPr>
            <w:r>
              <w:rPr>
                <w:rFonts w:hint="eastAsia"/>
                <w:color w:val="000000"/>
                <w:sz w:val="18"/>
                <w:szCs w:val="18"/>
              </w:rPr>
              <w:t>万元</w:t>
            </w:r>
          </w:p>
        </w:tc>
        <w:tc>
          <w:tcPr>
            <w:tcW w:w="1172" w:type="dxa"/>
            <w:tcBorders>
              <w:top w:val="single" w:color="4F81BD" w:sz="8" w:space="0"/>
              <w:left w:val="single" w:color="4F81BD" w:sz="8" w:space="0"/>
              <w:bottom w:val="single" w:color="4F81BD" w:sz="8" w:space="0"/>
              <w:right w:val="single" w:color="4F81BD" w:sz="8" w:space="0"/>
            </w:tcBorders>
            <w:shd w:val="clear" w:color="auto" w:fill="B8CCE4"/>
            <w:vAlign w:val="center"/>
          </w:tcPr>
          <w:p w14:paraId="7C25A2AB">
            <w:pPr>
              <w:widowControl/>
              <w:spacing w:line="360" w:lineRule="auto"/>
              <w:jc w:val="center"/>
              <w:rPr>
                <w:color w:val="000000"/>
                <w:sz w:val="18"/>
                <w:szCs w:val="18"/>
              </w:rPr>
            </w:pPr>
            <w:r>
              <w:rPr>
                <w:rFonts w:hint="eastAsia"/>
                <w:color w:val="000000"/>
                <w:sz w:val="18"/>
                <w:szCs w:val="18"/>
              </w:rPr>
              <w:t>Y≥5000</w:t>
            </w:r>
          </w:p>
        </w:tc>
        <w:tc>
          <w:tcPr>
            <w:tcW w:w="1773" w:type="dxa"/>
            <w:tcBorders>
              <w:top w:val="single" w:color="4F81BD" w:sz="8" w:space="0"/>
              <w:left w:val="single" w:color="4F81BD" w:sz="8" w:space="0"/>
              <w:bottom w:val="single" w:color="4F81BD" w:sz="8" w:space="0"/>
              <w:right w:val="single" w:color="4F81BD" w:sz="8" w:space="0"/>
            </w:tcBorders>
            <w:shd w:val="clear" w:color="auto" w:fill="B8CCE4"/>
            <w:vAlign w:val="center"/>
          </w:tcPr>
          <w:p w14:paraId="31562D5F">
            <w:pPr>
              <w:widowControl/>
              <w:spacing w:line="360" w:lineRule="auto"/>
              <w:ind w:left="-4" w:leftChars="-51" w:hanging="108" w:hangingChars="60"/>
              <w:jc w:val="center"/>
              <w:rPr>
                <w:color w:val="000000"/>
                <w:sz w:val="18"/>
                <w:szCs w:val="18"/>
              </w:rPr>
            </w:pPr>
            <w:r>
              <w:rPr>
                <w:rFonts w:hint="eastAsia"/>
                <w:color w:val="000000"/>
                <w:sz w:val="18"/>
                <w:szCs w:val="18"/>
              </w:rPr>
              <w:t xml:space="preserve">1000≤Y＜5000 </w:t>
            </w:r>
          </w:p>
        </w:tc>
        <w:tc>
          <w:tcPr>
            <w:tcW w:w="1485" w:type="dxa"/>
            <w:tcBorders>
              <w:top w:val="single" w:color="4F81BD" w:sz="8" w:space="0"/>
              <w:left w:val="single" w:color="4F81BD" w:sz="8" w:space="0"/>
              <w:bottom w:val="single" w:color="4F81BD" w:sz="8" w:space="0"/>
              <w:right w:val="single" w:color="4F81BD" w:sz="8" w:space="0"/>
            </w:tcBorders>
            <w:shd w:val="clear" w:color="auto" w:fill="B8CCE4"/>
            <w:vAlign w:val="center"/>
          </w:tcPr>
          <w:p w14:paraId="2D2D89CD">
            <w:pPr>
              <w:widowControl/>
              <w:spacing w:line="360" w:lineRule="auto"/>
              <w:jc w:val="center"/>
              <w:rPr>
                <w:color w:val="000000"/>
                <w:sz w:val="18"/>
                <w:szCs w:val="18"/>
              </w:rPr>
            </w:pPr>
            <w:r>
              <w:rPr>
                <w:rFonts w:hint="eastAsia"/>
                <w:color w:val="000000"/>
                <w:sz w:val="18"/>
                <w:szCs w:val="18"/>
              </w:rPr>
              <w:t xml:space="preserve"> 500≤Y＜1000</w:t>
            </w:r>
          </w:p>
        </w:tc>
        <w:tc>
          <w:tcPr>
            <w:tcW w:w="1033" w:type="dxa"/>
            <w:tcBorders>
              <w:top w:val="single" w:color="4F81BD" w:sz="8" w:space="0"/>
              <w:left w:val="single" w:color="4F81BD" w:sz="8" w:space="0"/>
              <w:bottom w:val="single" w:color="4F81BD" w:sz="8" w:space="0"/>
              <w:right w:val="single" w:color="4F81BD" w:sz="8" w:space="0"/>
            </w:tcBorders>
            <w:shd w:val="clear" w:color="auto" w:fill="B8CCE4"/>
            <w:vAlign w:val="center"/>
          </w:tcPr>
          <w:p w14:paraId="14793FBE">
            <w:pPr>
              <w:widowControl/>
              <w:spacing w:line="360" w:lineRule="auto"/>
              <w:jc w:val="center"/>
              <w:rPr>
                <w:color w:val="000000"/>
                <w:sz w:val="18"/>
                <w:szCs w:val="18"/>
              </w:rPr>
            </w:pPr>
            <w:r>
              <w:rPr>
                <w:rFonts w:hint="eastAsia"/>
                <w:color w:val="000000"/>
                <w:sz w:val="18"/>
                <w:szCs w:val="18"/>
              </w:rPr>
              <w:t>Y＜500</w:t>
            </w:r>
          </w:p>
        </w:tc>
      </w:tr>
      <w:tr w14:paraId="714203E2">
        <w:tblPrEx>
          <w:tblCellMar>
            <w:top w:w="0" w:type="dxa"/>
            <w:left w:w="108" w:type="dxa"/>
            <w:bottom w:w="0" w:type="dxa"/>
            <w:right w:w="108" w:type="dxa"/>
          </w:tblCellMar>
        </w:tblPrEx>
        <w:trPr>
          <w:trHeight w:val="562" w:hRule="exact"/>
          <w:jc w:val="center"/>
        </w:trPr>
        <w:tc>
          <w:tcPr>
            <w:tcW w:w="1714" w:type="dxa"/>
            <w:vMerge w:val="restart"/>
            <w:tcBorders>
              <w:top w:val="single" w:color="4F81BD" w:sz="8" w:space="0"/>
              <w:left w:val="single" w:color="4F81BD" w:sz="8" w:space="0"/>
              <w:bottom w:val="single" w:color="4F81BD" w:sz="8" w:space="0"/>
              <w:right w:val="single" w:color="4F81BD" w:sz="8" w:space="0"/>
            </w:tcBorders>
            <w:shd w:val="clear" w:color="auto" w:fill="FFFFFF"/>
            <w:vAlign w:val="center"/>
          </w:tcPr>
          <w:p w14:paraId="223C3048">
            <w:pPr>
              <w:widowControl/>
              <w:spacing w:line="360" w:lineRule="auto"/>
              <w:jc w:val="center"/>
              <w:rPr>
                <w:color w:val="000000"/>
                <w:sz w:val="18"/>
                <w:szCs w:val="18"/>
              </w:rPr>
            </w:pPr>
            <w:r>
              <w:rPr>
                <w:rFonts w:hint="eastAsia"/>
                <w:color w:val="000000"/>
                <w:sz w:val="18"/>
                <w:szCs w:val="18"/>
              </w:rPr>
              <w:t>租赁和商务服务业</w:t>
            </w:r>
          </w:p>
        </w:tc>
        <w:tc>
          <w:tcPr>
            <w:tcW w:w="1426" w:type="dxa"/>
            <w:tcBorders>
              <w:top w:val="single" w:color="4F81BD" w:sz="8" w:space="0"/>
              <w:left w:val="single" w:color="4F81BD" w:sz="8" w:space="0"/>
              <w:bottom w:val="single" w:color="4F81BD" w:sz="8" w:space="0"/>
              <w:right w:val="single" w:color="4F81BD" w:sz="8" w:space="0"/>
            </w:tcBorders>
            <w:shd w:val="clear" w:color="auto" w:fill="FFFFFF"/>
            <w:vAlign w:val="center"/>
          </w:tcPr>
          <w:p w14:paraId="32A69126">
            <w:pPr>
              <w:widowControl/>
              <w:spacing w:line="360" w:lineRule="auto"/>
              <w:jc w:val="center"/>
              <w:rPr>
                <w:color w:val="000000"/>
                <w:sz w:val="18"/>
                <w:szCs w:val="18"/>
              </w:rPr>
            </w:pPr>
            <w:r>
              <w:rPr>
                <w:rFonts w:hint="eastAsia"/>
                <w:color w:val="000000"/>
                <w:sz w:val="18"/>
                <w:szCs w:val="18"/>
              </w:rPr>
              <w:t>从业人员(X)</w:t>
            </w:r>
          </w:p>
        </w:tc>
        <w:tc>
          <w:tcPr>
            <w:tcW w:w="738" w:type="dxa"/>
            <w:tcBorders>
              <w:top w:val="single" w:color="4F81BD" w:sz="8" w:space="0"/>
              <w:left w:val="single" w:color="4F81BD" w:sz="8" w:space="0"/>
              <w:bottom w:val="single" w:color="4F81BD" w:sz="8" w:space="0"/>
              <w:right w:val="single" w:color="4F81BD" w:sz="8" w:space="0"/>
            </w:tcBorders>
            <w:shd w:val="clear" w:color="auto" w:fill="FFFFFF"/>
            <w:vAlign w:val="center"/>
          </w:tcPr>
          <w:p w14:paraId="1A5FFD7E">
            <w:pPr>
              <w:widowControl/>
              <w:spacing w:line="360" w:lineRule="auto"/>
              <w:jc w:val="center"/>
              <w:rPr>
                <w:color w:val="000000"/>
                <w:sz w:val="18"/>
                <w:szCs w:val="18"/>
              </w:rPr>
            </w:pPr>
            <w:r>
              <w:rPr>
                <w:rFonts w:hint="eastAsia"/>
                <w:color w:val="000000"/>
                <w:sz w:val="18"/>
                <w:szCs w:val="18"/>
              </w:rPr>
              <w:t>人</w:t>
            </w:r>
          </w:p>
        </w:tc>
        <w:tc>
          <w:tcPr>
            <w:tcW w:w="1172" w:type="dxa"/>
            <w:tcBorders>
              <w:top w:val="single" w:color="4F81BD" w:sz="8" w:space="0"/>
              <w:left w:val="single" w:color="4F81BD" w:sz="8" w:space="0"/>
              <w:bottom w:val="single" w:color="4F81BD" w:sz="8" w:space="0"/>
              <w:right w:val="single" w:color="4F81BD" w:sz="8" w:space="0"/>
            </w:tcBorders>
            <w:shd w:val="clear" w:color="auto" w:fill="FFFFFF"/>
            <w:vAlign w:val="center"/>
          </w:tcPr>
          <w:p w14:paraId="31377996">
            <w:pPr>
              <w:widowControl/>
              <w:spacing w:line="360" w:lineRule="auto"/>
              <w:jc w:val="center"/>
              <w:rPr>
                <w:color w:val="000000"/>
                <w:sz w:val="18"/>
                <w:szCs w:val="18"/>
              </w:rPr>
            </w:pPr>
            <w:r>
              <w:rPr>
                <w:rFonts w:hint="eastAsia"/>
                <w:color w:val="000000"/>
                <w:sz w:val="18"/>
                <w:szCs w:val="18"/>
              </w:rPr>
              <w:t>X≥300</w:t>
            </w:r>
          </w:p>
        </w:tc>
        <w:tc>
          <w:tcPr>
            <w:tcW w:w="1773" w:type="dxa"/>
            <w:tcBorders>
              <w:top w:val="single" w:color="4F81BD" w:sz="8" w:space="0"/>
              <w:left w:val="single" w:color="4F81BD" w:sz="8" w:space="0"/>
              <w:bottom w:val="single" w:color="4F81BD" w:sz="8" w:space="0"/>
              <w:right w:val="single" w:color="4F81BD" w:sz="8" w:space="0"/>
            </w:tcBorders>
            <w:shd w:val="clear" w:color="auto" w:fill="FFFFFF"/>
            <w:vAlign w:val="center"/>
          </w:tcPr>
          <w:p w14:paraId="57D48204">
            <w:pPr>
              <w:widowControl/>
              <w:spacing w:line="360" w:lineRule="auto"/>
              <w:ind w:left="-4" w:leftChars="-51" w:hanging="108" w:hangingChars="60"/>
              <w:jc w:val="center"/>
              <w:rPr>
                <w:color w:val="000000"/>
                <w:sz w:val="18"/>
                <w:szCs w:val="18"/>
              </w:rPr>
            </w:pPr>
            <w:r>
              <w:rPr>
                <w:rFonts w:hint="eastAsia"/>
                <w:color w:val="000000"/>
                <w:sz w:val="18"/>
                <w:szCs w:val="18"/>
              </w:rPr>
              <w:t xml:space="preserve">100≤X＜300 </w:t>
            </w:r>
          </w:p>
        </w:tc>
        <w:tc>
          <w:tcPr>
            <w:tcW w:w="1485" w:type="dxa"/>
            <w:tcBorders>
              <w:top w:val="single" w:color="4F81BD" w:sz="8" w:space="0"/>
              <w:left w:val="single" w:color="4F81BD" w:sz="8" w:space="0"/>
              <w:bottom w:val="single" w:color="4F81BD" w:sz="8" w:space="0"/>
              <w:right w:val="single" w:color="4F81BD" w:sz="8" w:space="0"/>
            </w:tcBorders>
            <w:shd w:val="clear" w:color="auto" w:fill="FFFFFF"/>
            <w:vAlign w:val="center"/>
          </w:tcPr>
          <w:p w14:paraId="158E857F">
            <w:pPr>
              <w:widowControl/>
              <w:spacing w:line="360" w:lineRule="auto"/>
              <w:jc w:val="center"/>
              <w:rPr>
                <w:color w:val="000000"/>
                <w:sz w:val="18"/>
                <w:szCs w:val="18"/>
              </w:rPr>
            </w:pPr>
            <w:r>
              <w:rPr>
                <w:rFonts w:hint="eastAsia"/>
                <w:color w:val="000000"/>
                <w:sz w:val="18"/>
                <w:szCs w:val="18"/>
              </w:rPr>
              <w:t xml:space="preserve"> 10≤X＜100</w:t>
            </w:r>
          </w:p>
        </w:tc>
        <w:tc>
          <w:tcPr>
            <w:tcW w:w="1033" w:type="dxa"/>
            <w:tcBorders>
              <w:top w:val="single" w:color="4F81BD" w:sz="8" w:space="0"/>
              <w:left w:val="single" w:color="4F81BD" w:sz="8" w:space="0"/>
              <w:bottom w:val="single" w:color="4F81BD" w:sz="8" w:space="0"/>
              <w:right w:val="single" w:color="4F81BD" w:sz="8" w:space="0"/>
            </w:tcBorders>
            <w:shd w:val="clear" w:color="auto" w:fill="FFFFFF"/>
            <w:vAlign w:val="center"/>
          </w:tcPr>
          <w:p w14:paraId="498FA230">
            <w:pPr>
              <w:widowControl/>
              <w:spacing w:line="360" w:lineRule="auto"/>
              <w:jc w:val="center"/>
              <w:rPr>
                <w:color w:val="000000"/>
                <w:sz w:val="18"/>
                <w:szCs w:val="18"/>
              </w:rPr>
            </w:pPr>
            <w:r>
              <w:rPr>
                <w:rFonts w:hint="eastAsia"/>
                <w:color w:val="000000"/>
                <w:sz w:val="18"/>
                <w:szCs w:val="18"/>
              </w:rPr>
              <w:t>X＜10</w:t>
            </w:r>
          </w:p>
        </w:tc>
      </w:tr>
      <w:tr w14:paraId="4A3DF8C2">
        <w:tblPrEx>
          <w:tblCellMar>
            <w:top w:w="0" w:type="dxa"/>
            <w:left w:w="108" w:type="dxa"/>
            <w:bottom w:w="0" w:type="dxa"/>
            <w:right w:w="108" w:type="dxa"/>
          </w:tblCellMar>
        </w:tblPrEx>
        <w:trPr>
          <w:trHeight w:val="588" w:hRule="exact"/>
          <w:jc w:val="center"/>
        </w:trPr>
        <w:tc>
          <w:tcPr>
            <w:tcW w:w="1714" w:type="dxa"/>
            <w:vMerge w:val="continue"/>
            <w:tcBorders>
              <w:top w:val="single" w:color="4F81BD" w:sz="8" w:space="0"/>
              <w:left w:val="single" w:color="4F81BD" w:sz="8" w:space="0"/>
              <w:bottom w:val="single" w:color="4F81BD" w:sz="8" w:space="0"/>
              <w:right w:val="single" w:color="4F81BD" w:sz="8" w:space="0"/>
            </w:tcBorders>
            <w:shd w:val="clear" w:color="auto" w:fill="B8CCE4"/>
            <w:vAlign w:val="center"/>
          </w:tcPr>
          <w:p w14:paraId="14A748DD">
            <w:pPr>
              <w:widowControl/>
              <w:spacing w:line="360" w:lineRule="auto"/>
              <w:jc w:val="center"/>
              <w:rPr>
                <w:color w:val="000000"/>
                <w:sz w:val="18"/>
                <w:szCs w:val="18"/>
              </w:rPr>
            </w:pPr>
          </w:p>
        </w:tc>
        <w:tc>
          <w:tcPr>
            <w:tcW w:w="1426" w:type="dxa"/>
            <w:tcBorders>
              <w:top w:val="single" w:color="4F81BD" w:sz="8" w:space="0"/>
              <w:left w:val="single" w:color="4F81BD" w:sz="8" w:space="0"/>
              <w:bottom w:val="single" w:color="4F81BD" w:sz="8" w:space="0"/>
              <w:right w:val="single" w:color="4F81BD" w:sz="8" w:space="0"/>
            </w:tcBorders>
            <w:shd w:val="clear" w:color="auto" w:fill="B8CCE4"/>
            <w:vAlign w:val="center"/>
          </w:tcPr>
          <w:p w14:paraId="3A80E623">
            <w:pPr>
              <w:widowControl/>
              <w:spacing w:line="360" w:lineRule="auto"/>
              <w:jc w:val="center"/>
              <w:rPr>
                <w:color w:val="000000"/>
                <w:sz w:val="18"/>
                <w:szCs w:val="18"/>
              </w:rPr>
            </w:pPr>
            <w:r>
              <w:rPr>
                <w:rFonts w:hint="eastAsia"/>
                <w:color w:val="000000"/>
                <w:sz w:val="18"/>
                <w:szCs w:val="18"/>
              </w:rPr>
              <w:t>资产总额(Z)</w:t>
            </w:r>
          </w:p>
        </w:tc>
        <w:tc>
          <w:tcPr>
            <w:tcW w:w="738" w:type="dxa"/>
            <w:tcBorders>
              <w:top w:val="single" w:color="4F81BD" w:sz="8" w:space="0"/>
              <w:left w:val="single" w:color="4F81BD" w:sz="8" w:space="0"/>
              <w:bottom w:val="single" w:color="4F81BD" w:sz="8" w:space="0"/>
              <w:right w:val="single" w:color="4F81BD" w:sz="8" w:space="0"/>
            </w:tcBorders>
            <w:shd w:val="clear" w:color="auto" w:fill="B8CCE4"/>
            <w:vAlign w:val="center"/>
          </w:tcPr>
          <w:p w14:paraId="359D2C26">
            <w:pPr>
              <w:widowControl/>
              <w:spacing w:line="360" w:lineRule="auto"/>
              <w:jc w:val="center"/>
              <w:rPr>
                <w:color w:val="000000"/>
                <w:sz w:val="18"/>
                <w:szCs w:val="18"/>
              </w:rPr>
            </w:pPr>
            <w:r>
              <w:rPr>
                <w:rFonts w:hint="eastAsia"/>
                <w:color w:val="000000"/>
                <w:sz w:val="18"/>
                <w:szCs w:val="18"/>
              </w:rPr>
              <w:t>万元</w:t>
            </w:r>
          </w:p>
        </w:tc>
        <w:tc>
          <w:tcPr>
            <w:tcW w:w="1172" w:type="dxa"/>
            <w:tcBorders>
              <w:top w:val="single" w:color="4F81BD" w:sz="8" w:space="0"/>
              <w:left w:val="single" w:color="4F81BD" w:sz="8" w:space="0"/>
              <w:bottom w:val="single" w:color="4F81BD" w:sz="8" w:space="0"/>
              <w:right w:val="single" w:color="4F81BD" w:sz="8" w:space="0"/>
            </w:tcBorders>
            <w:shd w:val="clear" w:color="auto" w:fill="B8CCE4"/>
            <w:vAlign w:val="center"/>
          </w:tcPr>
          <w:p w14:paraId="33B8C2B8">
            <w:pPr>
              <w:widowControl/>
              <w:spacing w:line="360" w:lineRule="auto"/>
              <w:jc w:val="center"/>
              <w:rPr>
                <w:color w:val="000000"/>
                <w:sz w:val="18"/>
                <w:szCs w:val="18"/>
              </w:rPr>
            </w:pPr>
            <w:r>
              <w:rPr>
                <w:rFonts w:hint="eastAsia"/>
                <w:color w:val="000000"/>
                <w:sz w:val="18"/>
                <w:szCs w:val="18"/>
              </w:rPr>
              <w:t>Z≥120000</w:t>
            </w:r>
          </w:p>
        </w:tc>
        <w:tc>
          <w:tcPr>
            <w:tcW w:w="1773" w:type="dxa"/>
            <w:tcBorders>
              <w:top w:val="single" w:color="4F81BD" w:sz="8" w:space="0"/>
              <w:left w:val="single" w:color="4F81BD" w:sz="8" w:space="0"/>
              <w:bottom w:val="single" w:color="4F81BD" w:sz="8" w:space="0"/>
              <w:right w:val="single" w:color="4F81BD" w:sz="8" w:space="0"/>
            </w:tcBorders>
            <w:shd w:val="clear" w:color="auto" w:fill="B8CCE4"/>
            <w:vAlign w:val="center"/>
          </w:tcPr>
          <w:p w14:paraId="4F9F390F">
            <w:pPr>
              <w:widowControl/>
              <w:spacing w:line="360" w:lineRule="auto"/>
              <w:jc w:val="center"/>
              <w:rPr>
                <w:color w:val="000000"/>
                <w:sz w:val="18"/>
                <w:szCs w:val="18"/>
              </w:rPr>
            </w:pPr>
            <w:r>
              <w:rPr>
                <w:rFonts w:hint="eastAsia"/>
                <w:color w:val="000000"/>
                <w:sz w:val="18"/>
                <w:szCs w:val="18"/>
              </w:rPr>
              <w:t xml:space="preserve"> 8000≤Z＜120000</w:t>
            </w:r>
          </w:p>
        </w:tc>
        <w:tc>
          <w:tcPr>
            <w:tcW w:w="1485" w:type="dxa"/>
            <w:tcBorders>
              <w:top w:val="single" w:color="4F81BD" w:sz="8" w:space="0"/>
              <w:left w:val="single" w:color="4F81BD" w:sz="8" w:space="0"/>
              <w:bottom w:val="single" w:color="4F81BD" w:sz="8" w:space="0"/>
              <w:right w:val="single" w:color="4F81BD" w:sz="8" w:space="0"/>
            </w:tcBorders>
            <w:shd w:val="clear" w:color="auto" w:fill="B8CCE4"/>
            <w:vAlign w:val="center"/>
          </w:tcPr>
          <w:p w14:paraId="432C9146">
            <w:pPr>
              <w:widowControl/>
              <w:spacing w:line="360" w:lineRule="auto"/>
              <w:jc w:val="center"/>
              <w:rPr>
                <w:color w:val="000000"/>
                <w:sz w:val="18"/>
                <w:szCs w:val="18"/>
              </w:rPr>
            </w:pPr>
            <w:r>
              <w:rPr>
                <w:rFonts w:hint="eastAsia"/>
                <w:color w:val="000000"/>
                <w:sz w:val="18"/>
                <w:szCs w:val="18"/>
              </w:rPr>
              <w:t xml:space="preserve"> 100≤Z＜8000</w:t>
            </w:r>
          </w:p>
        </w:tc>
        <w:tc>
          <w:tcPr>
            <w:tcW w:w="1033" w:type="dxa"/>
            <w:tcBorders>
              <w:top w:val="single" w:color="4F81BD" w:sz="8" w:space="0"/>
              <w:left w:val="single" w:color="4F81BD" w:sz="8" w:space="0"/>
              <w:bottom w:val="single" w:color="4F81BD" w:sz="8" w:space="0"/>
              <w:right w:val="single" w:color="4F81BD" w:sz="8" w:space="0"/>
            </w:tcBorders>
            <w:shd w:val="clear" w:color="auto" w:fill="B8CCE4"/>
            <w:vAlign w:val="center"/>
          </w:tcPr>
          <w:p w14:paraId="07220BE8">
            <w:pPr>
              <w:widowControl/>
              <w:spacing w:line="360" w:lineRule="auto"/>
              <w:jc w:val="center"/>
              <w:rPr>
                <w:color w:val="000000"/>
                <w:sz w:val="18"/>
                <w:szCs w:val="18"/>
              </w:rPr>
            </w:pPr>
            <w:r>
              <w:rPr>
                <w:rFonts w:hint="eastAsia"/>
                <w:color w:val="000000"/>
                <w:sz w:val="18"/>
                <w:szCs w:val="18"/>
              </w:rPr>
              <w:t>Z＜100</w:t>
            </w:r>
          </w:p>
        </w:tc>
      </w:tr>
      <w:tr w14:paraId="55CFF830">
        <w:tblPrEx>
          <w:tblCellMar>
            <w:top w:w="0" w:type="dxa"/>
            <w:left w:w="108" w:type="dxa"/>
            <w:bottom w:w="0" w:type="dxa"/>
            <w:right w:w="108" w:type="dxa"/>
          </w:tblCellMar>
        </w:tblPrEx>
        <w:trPr>
          <w:trHeight w:val="442" w:hRule="exact"/>
          <w:jc w:val="center"/>
        </w:trPr>
        <w:tc>
          <w:tcPr>
            <w:tcW w:w="1714" w:type="dxa"/>
            <w:tcBorders>
              <w:top w:val="single" w:color="4F81BD" w:sz="8" w:space="0"/>
              <w:left w:val="single" w:color="4F81BD" w:sz="8" w:space="0"/>
              <w:bottom w:val="single" w:color="4F81BD" w:sz="8" w:space="0"/>
              <w:right w:val="single" w:color="4F81BD" w:sz="8" w:space="0"/>
            </w:tcBorders>
            <w:shd w:val="clear" w:color="auto" w:fill="FFFFFF"/>
            <w:vAlign w:val="center"/>
          </w:tcPr>
          <w:p w14:paraId="0BF23436">
            <w:pPr>
              <w:widowControl/>
              <w:spacing w:line="360" w:lineRule="auto"/>
              <w:jc w:val="center"/>
              <w:rPr>
                <w:color w:val="000000"/>
                <w:sz w:val="18"/>
                <w:szCs w:val="18"/>
              </w:rPr>
            </w:pPr>
            <w:r>
              <w:rPr>
                <w:rFonts w:hint="eastAsia"/>
                <w:color w:val="000000"/>
                <w:sz w:val="18"/>
                <w:szCs w:val="18"/>
              </w:rPr>
              <w:t>其他未列明行业 *</w:t>
            </w:r>
          </w:p>
        </w:tc>
        <w:tc>
          <w:tcPr>
            <w:tcW w:w="1426" w:type="dxa"/>
            <w:tcBorders>
              <w:top w:val="single" w:color="4F81BD" w:sz="8" w:space="0"/>
              <w:left w:val="single" w:color="4F81BD" w:sz="8" w:space="0"/>
              <w:bottom w:val="single" w:color="4F81BD" w:sz="8" w:space="0"/>
              <w:right w:val="single" w:color="4F81BD" w:sz="8" w:space="0"/>
            </w:tcBorders>
            <w:shd w:val="clear" w:color="auto" w:fill="FFFFFF"/>
            <w:vAlign w:val="center"/>
          </w:tcPr>
          <w:p w14:paraId="630EFD88">
            <w:pPr>
              <w:widowControl/>
              <w:spacing w:line="360" w:lineRule="auto"/>
              <w:jc w:val="center"/>
              <w:rPr>
                <w:color w:val="000000"/>
                <w:sz w:val="18"/>
                <w:szCs w:val="18"/>
              </w:rPr>
            </w:pPr>
            <w:r>
              <w:rPr>
                <w:rFonts w:hint="eastAsia"/>
                <w:color w:val="000000"/>
                <w:sz w:val="18"/>
                <w:szCs w:val="18"/>
              </w:rPr>
              <w:t>从业人员(X)</w:t>
            </w:r>
          </w:p>
        </w:tc>
        <w:tc>
          <w:tcPr>
            <w:tcW w:w="738" w:type="dxa"/>
            <w:tcBorders>
              <w:top w:val="single" w:color="4F81BD" w:sz="8" w:space="0"/>
              <w:left w:val="single" w:color="4F81BD" w:sz="8" w:space="0"/>
              <w:bottom w:val="single" w:color="4F81BD" w:sz="8" w:space="0"/>
              <w:right w:val="single" w:color="4F81BD" w:sz="8" w:space="0"/>
            </w:tcBorders>
            <w:shd w:val="clear" w:color="auto" w:fill="FFFFFF"/>
            <w:vAlign w:val="center"/>
          </w:tcPr>
          <w:p w14:paraId="6F8EA858">
            <w:pPr>
              <w:widowControl/>
              <w:spacing w:line="360" w:lineRule="auto"/>
              <w:jc w:val="center"/>
              <w:rPr>
                <w:color w:val="000000"/>
                <w:sz w:val="18"/>
                <w:szCs w:val="18"/>
              </w:rPr>
            </w:pPr>
            <w:r>
              <w:rPr>
                <w:rFonts w:hint="eastAsia"/>
                <w:color w:val="000000"/>
                <w:sz w:val="18"/>
                <w:szCs w:val="18"/>
              </w:rPr>
              <w:t>人</w:t>
            </w:r>
          </w:p>
        </w:tc>
        <w:tc>
          <w:tcPr>
            <w:tcW w:w="1172" w:type="dxa"/>
            <w:tcBorders>
              <w:top w:val="single" w:color="4F81BD" w:sz="8" w:space="0"/>
              <w:left w:val="single" w:color="4F81BD" w:sz="8" w:space="0"/>
              <w:bottom w:val="single" w:color="4F81BD" w:sz="8" w:space="0"/>
              <w:right w:val="single" w:color="4F81BD" w:sz="8" w:space="0"/>
            </w:tcBorders>
            <w:shd w:val="clear" w:color="auto" w:fill="FFFFFF"/>
            <w:vAlign w:val="center"/>
          </w:tcPr>
          <w:p w14:paraId="4360DB5B">
            <w:pPr>
              <w:widowControl/>
              <w:spacing w:line="360" w:lineRule="auto"/>
              <w:jc w:val="center"/>
              <w:rPr>
                <w:color w:val="000000"/>
                <w:sz w:val="18"/>
                <w:szCs w:val="18"/>
              </w:rPr>
            </w:pPr>
            <w:r>
              <w:rPr>
                <w:rFonts w:hint="eastAsia"/>
                <w:color w:val="000000"/>
                <w:sz w:val="18"/>
                <w:szCs w:val="18"/>
              </w:rPr>
              <w:t>X≥300</w:t>
            </w:r>
          </w:p>
        </w:tc>
        <w:tc>
          <w:tcPr>
            <w:tcW w:w="1773" w:type="dxa"/>
            <w:tcBorders>
              <w:top w:val="single" w:color="4F81BD" w:sz="8" w:space="0"/>
              <w:left w:val="single" w:color="4F81BD" w:sz="8" w:space="0"/>
              <w:bottom w:val="single" w:color="4F81BD" w:sz="8" w:space="0"/>
              <w:right w:val="single" w:color="4F81BD" w:sz="8" w:space="0"/>
            </w:tcBorders>
            <w:shd w:val="clear" w:color="auto" w:fill="FFFFFF"/>
            <w:vAlign w:val="center"/>
          </w:tcPr>
          <w:p w14:paraId="0F62DAAF">
            <w:pPr>
              <w:widowControl/>
              <w:spacing w:line="360" w:lineRule="auto"/>
              <w:ind w:left="-4" w:leftChars="-51" w:hanging="108" w:hangingChars="60"/>
              <w:jc w:val="center"/>
              <w:rPr>
                <w:color w:val="000000"/>
                <w:sz w:val="18"/>
                <w:szCs w:val="18"/>
              </w:rPr>
            </w:pPr>
            <w:r>
              <w:rPr>
                <w:rFonts w:hint="eastAsia"/>
                <w:color w:val="000000"/>
                <w:sz w:val="18"/>
                <w:szCs w:val="18"/>
              </w:rPr>
              <w:t xml:space="preserve">100≤X＜300 </w:t>
            </w:r>
          </w:p>
        </w:tc>
        <w:tc>
          <w:tcPr>
            <w:tcW w:w="1485" w:type="dxa"/>
            <w:tcBorders>
              <w:top w:val="single" w:color="4F81BD" w:sz="8" w:space="0"/>
              <w:left w:val="single" w:color="4F81BD" w:sz="8" w:space="0"/>
              <w:bottom w:val="single" w:color="4F81BD" w:sz="8" w:space="0"/>
              <w:right w:val="single" w:color="4F81BD" w:sz="8" w:space="0"/>
            </w:tcBorders>
            <w:shd w:val="clear" w:color="auto" w:fill="FFFFFF"/>
            <w:vAlign w:val="center"/>
          </w:tcPr>
          <w:p w14:paraId="29EDC23C">
            <w:pPr>
              <w:widowControl/>
              <w:spacing w:line="360" w:lineRule="auto"/>
              <w:jc w:val="center"/>
              <w:rPr>
                <w:color w:val="000000"/>
                <w:sz w:val="18"/>
                <w:szCs w:val="18"/>
              </w:rPr>
            </w:pPr>
            <w:r>
              <w:rPr>
                <w:rFonts w:hint="eastAsia"/>
                <w:color w:val="000000"/>
                <w:sz w:val="18"/>
                <w:szCs w:val="18"/>
              </w:rPr>
              <w:t xml:space="preserve"> 10≤X＜100</w:t>
            </w:r>
          </w:p>
        </w:tc>
        <w:tc>
          <w:tcPr>
            <w:tcW w:w="1033" w:type="dxa"/>
            <w:tcBorders>
              <w:top w:val="single" w:color="4F81BD" w:sz="8" w:space="0"/>
              <w:left w:val="single" w:color="4F81BD" w:sz="8" w:space="0"/>
              <w:bottom w:val="single" w:color="4F81BD" w:sz="8" w:space="0"/>
              <w:right w:val="single" w:color="4F81BD" w:sz="8" w:space="0"/>
            </w:tcBorders>
            <w:shd w:val="clear" w:color="auto" w:fill="FFFFFF"/>
            <w:vAlign w:val="center"/>
          </w:tcPr>
          <w:p w14:paraId="1DDEF2FC">
            <w:pPr>
              <w:widowControl/>
              <w:spacing w:line="360" w:lineRule="auto"/>
              <w:jc w:val="center"/>
              <w:rPr>
                <w:color w:val="000000"/>
                <w:sz w:val="18"/>
                <w:szCs w:val="18"/>
              </w:rPr>
            </w:pPr>
            <w:r>
              <w:rPr>
                <w:rFonts w:hint="eastAsia"/>
                <w:color w:val="000000"/>
                <w:sz w:val="18"/>
                <w:szCs w:val="18"/>
              </w:rPr>
              <w:t>X＜10</w:t>
            </w:r>
          </w:p>
        </w:tc>
      </w:tr>
    </w:tbl>
    <w:p w14:paraId="198AB32A">
      <w:pPr>
        <w:pStyle w:val="18"/>
        <w:spacing w:before="243"/>
        <w:rPr>
          <w:spacing w:val="-4"/>
        </w:rPr>
      </w:pPr>
    </w:p>
    <w:p w14:paraId="54AFBFB2">
      <w:pPr>
        <w:pStyle w:val="18"/>
        <w:spacing w:before="243"/>
      </w:pPr>
      <w:r>
        <w:rPr>
          <w:spacing w:val="-4"/>
        </w:rPr>
        <w:t>说明：</w:t>
      </w:r>
    </w:p>
    <w:p w14:paraId="598F32D7">
      <w:pPr>
        <w:pStyle w:val="75"/>
        <w:numPr>
          <w:ilvl w:val="0"/>
          <w:numId w:val="2"/>
        </w:numPr>
        <w:tabs>
          <w:tab w:val="left" w:pos="923"/>
        </w:tabs>
        <w:spacing w:before="55" w:line="482" w:lineRule="auto"/>
        <w:ind w:right="373" w:firstLine="427"/>
        <w:rPr>
          <w:sz w:val="21"/>
        </w:rPr>
      </w:pPr>
      <w:r>
        <w:rPr>
          <w:spacing w:val="-2"/>
          <w:sz w:val="21"/>
        </w:rPr>
        <w:t>大型、中型和小型企业须同时满足所列指标的下限，否则下划一档；微型企业只须满足所列指标中的一项即可。</w:t>
      </w:r>
    </w:p>
    <w:p w14:paraId="7A6237ED">
      <w:pPr>
        <w:pStyle w:val="75"/>
        <w:numPr>
          <w:ilvl w:val="0"/>
          <w:numId w:val="2"/>
        </w:numPr>
        <w:tabs>
          <w:tab w:val="left" w:pos="919"/>
        </w:tabs>
        <w:spacing w:line="482" w:lineRule="auto"/>
        <w:ind w:right="362" w:firstLine="424"/>
        <w:jc w:val="both"/>
        <w:rPr>
          <w:sz w:val="21"/>
        </w:rPr>
      </w:pPr>
      <w:r>
        <w:rPr>
          <w:sz w:val="21"/>
        </w:rPr>
        <w:t>附表中各行业的范围以《国民经济行业分类》</w:t>
      </w:r>
      <w:r>
        <w:rPr>
          <w:spacing w:val="3"/>
          <w:sz w:val="21"/>
        </w:rPr>
        <w:t>（</w:t>
      </w:r>
      <w:r>
        <w:rPr>
          <w:spacing w:val="2"/>
          <w:sz w:val="21"/>
        </w:rPr>
        <w:t>GB</w:t>
      </w:r>
      <w:r>
        <w:rPr>
          <w:sz w:val="21"/>
        </w:rPr>
        <w:t>/</w:t>
      </w:r>
      <w:r>
        <w:rPr>
          <w:spacing w:val="2"/>
          <w:sz w:val="21"/>
        </w:rPr>
        <w:t>T</w:t>
      </w:r>
      <w:r>
        <w:rPr>
          <w:sz w:val="21"/>
        </w:rPr>
        <w:t>4</w:t>
      </w:r>
      <w:r>
        <w:rPr>
          <w:spacing w:val="2"/>
          <w:sz w:val="21"/>
        </w:rPr>
        <w:t>75</w:t>
      </w:r>
      <w:r>
        <w:rPr>
          <w:spacing w:val="1"/>
          <w:sz w:val="21"/>
        </w:rPr>
        <w:t>4</w:t>
      </w:r>
      <w:r>
        <w:rPr>
          <w:spacing w:val="2"/>
          <w:sz w:val="21"/>
        </w:rPr>
        <w:t>-</w:t>
      </w:r>
      <w:r>
        <w:rPr>
          <w:sz w:val="21"/>
        </w:rPr>
        <w:t>2</w:t>
      </w:r>
      <w:r>
        <w:rPr>
          <w:spacing w:val="2"/>
          <w:sz w:val="21"/>
        </w:rPr>
        <w:t>01</w:t>
      </w:r>
      <w:r>
        <w:rPr>
          <w:sz w:val="21"/>
        </w:rPr>
        <w:t>7）</w:t>
      </w:r>
      <w:r>
        <w:rPr>
          <w:spacing w:val="1"/>
          <w:sz w:val="21"/>
        </w:rPr>
        <w:t>为准。带</w:t>
      </w:r>
      <w:r>
        <w:rPr>
          <w:spacing w:val="2"/>
          <w:sz w:val="21"/>
        </w:rPr>
        <w:t>*</w:t>
      </w:r>
      <w:r>
        <w:rPr>
          <w:sz w:val="21"/>
        </w:rPr>
        <w:t>的项为行业组合类别，其中，工业包括采矿业，制造业，电力、热力、燃气及水生产和供应业；交通运输业包括道路运输业，水上运输业，航空运输业，管道运输业，多式联运和运输代理业、装卸搬运，不包括铁路运输业；仓储业包括通用仓储，低温仓储，危险品仓储，谷物、棉花等农产品仓储，中药材仓储</w:t>
      </w:r>
      <w:r>
        <w:rPr>
          <w:spacing w:val="1"/>
          <w:sz w:val="21"/>
        </w:rPr>
        <w:t>和其他仓储业;信息传输业包括电信、广播电视和卫星传输服务，互联网和相关服务；其他未列明</w:t>
      </w:r>
      <w:r>
        <w:rPr>
          <w:spacing w:val="-1"/>
          <w:sz w:val="21"/>
        </w:rPr>
        <w:t>行业包括科学研究和技术服务业，水利、环境和公共设施管理业，居民服务、修理和其他服务业，</w:t>
      </w:r>
      <w:r>
        <w:rPr>
          <w:sz w:val="21"/>
        </w:rPr>
        <w:t>社会工作，文化、体育和娱乐业，以及房地产中介服务，其他房地产业等，不包括自有房地产经营活动。</w:t>
      </w:r>
    </w:p>
    <w:p w14:paraId="351DB653">
      <w:pPr>
        <w:pStyle w:val="75"/>
        <w:numPr>
          <w:ilvl w:val="0"/>
          <w:numId w:val="2"/>
        </w:numPr>
        <w:tabs>
          <w:tab w:val="left" w:pos="932"/>
        </w:tabs>
        <w:spacing w:line="482" w:lineRule="auto"/>
        <w:ind w:right="365" w:firstLine="432"/>
        <w:jc w:val="both"/>
        <w:rPr>
          <w:sz w:val="21"/>
        </w:rPr>
      </w:pPr>
      <w:r>
        <w:rPr>
          <w:spacing w:val="2"/>
          <w:sz w:val="21"/>
        </w:rPr>
        <w:t>企业划分指标以现行统计制度为准。</w:t>
      </w:r>
      <w:r>
        <w:rPr>
          <w:spacing w:val="6"/>
          <w:sz w:val="21"/>
        </w:rPr>
        <w:t>（</w:t>
      </w:r>
      <w:r>
        <w:rPr>
          <w:spacing w:val="4"/>
          <w:sz w:val="21"/>
        </w:rPr>
        <w:t>1</w:t>
      </w:r>
      <w:r>
        <w:rPr>
          <w:spacing w:val="2"/>
          <w:sz w:val="21"/>
        </w:rPr>
        <w:t>）</w:t>
      </w:r>
      <w:r>
        <w:rPr>
          <w:spacing w:val="1"/>
          <w:sz w:val="21"/>
        </w:rPr>
        <w:t>从业人员，是指期末从业人员数，没有期末从业</w:t>
      </w:r>
      <w:r>
        <w:rPr>
          <w:spacing w:val="2"/>
          <w:sz w:val="21"/>
        </w:rPr>
        <w:t>人员数的，采用全年平均人员数代替。</w:t>
      </w:r>
      <w:r>
        <w:rPr>
          <w:spacing w:val="8"/>
          <w:sz w:val="21"/>
        </w:rPr>
        <w:t>（</w:t>
      </w:r>
      <w:r>
        <w:rPr>
          <w:spacing w:val="2"/>
          <w:sz w:val="21"/>
        </w:rPr>
        <w:t>2</w:t>
      </w:r>
      <w:r>
        <w:rPr>
          <w:spacing w:val="4"/>
          <w:sz w:val="21"/>
        </w:rPr>
        <w:t>）</w:t>
      </w:r>
      <w:r>
        <w:rPr>
          <w:spacing w:val="1"/>
          <w:sz w:val="21"/>
        </w:rPr>
        <w:t>营业收入，工业、建筑业、限额以上批发和零售业、</w:t>
      </w:r>
      <w:r>
        <w:rPr>
          <w:sz w:val="21"/>
        </w:rPr>
        <w:t>限额以上住宿和餐饮业以及其他设置主营业务收入指标的行业，采用主营业务收入；限额以下批发与零售业企业采用商品销售额代替；限额以下住宿与餐饮业企业采用营业额代替；农、林、牧、渔</w:t>
      </w:r>
      <w:r>
        <w:rPr>
          <w:spacing w:val="2"/>
          <w:sz w:val="21"/>
        </w:rPr>
        <w:t>业企业采用营业总收入代替；其他未设置主营业务收入的行业，采用营业收入指标。</w:t>
      </w:r>
      <w:r>
        <w:rPr>
          <w:spacing w:val="14"/>
          <w:sz w:val="21"/>
        </w:rPr>
        <w:t>（</w:t>
      </w:r>
      <w:r>
        <w:rPr>
          <w:spacing w:val="2"/>
          <w:sz w:val="21"/>
        </w:rPr>
        <w:t>3</w:t>
      </w:r>
      <w:r>
        <w:rPr>
          <w:spacing w:val="4"/>
          <w:sz w:val="21"/>
        </w:rPr>
        <w:t>）</w:t>
      </w:r>
      <w:r>
        <w:rPr>
          <w:spacing w:val="2"/>
          <w:sz w:val="21"/>
        </w:rPr>
        <w:t>资产总</w:t>
      </w:r>
      <w:r>
        <w:rPr>
          <w:spacing w:val="-3"/>
          <w:sz w:val="21"/>
        </w:rPr>
        <w:t>额，采用资产总计代替。</w:t>
      </w:r>
    </w:p>
    <w:p w14:paraId="3B177C7B">
      <w:pPr>
        <w:pStyle w:val="75"/>
        <w:spacing w:line="482" w:lineRule="auto"/>
        <w:jc w:val="both"/>
        <w:rPr>
          <w:sz w:val="21"/>
        </w:rPr>
        <w:sectPr>
          <w:pgSz w:w="11920" w:h="16850"/>
          <w:pgMar w:top="1640" w:right="992" w:bottom="1100" w:left="1133" w:header="0" w:footer="913" w:gutter="0"/>
          <w:cols w:space="720" w:num="1"/>
        </w:sectPr>
      </w:pPr>
    </w:p>
    <w:p w14:paraId="02BA6624">
      <w:pPr>
        <w:pStyle w:val="2"/>
        <w:tabs>
          <w:tab w:val="left" w:pos="1450"/>
        </w:tabs>
        <w:ind w:right="88"/>
        <w:rPr>
          <w:rFonts w:ascii="宋体" w:hAnsi="宋体" w:eastAsia="宋体"/>
        </w:rPr>
      </w:pPr>
      <w:bookmarkStart w:id="16" w:name="第三章__评审办法（综合评分法）"/>
      <w:bookmarkEnd w:id="16"/>
      <w:bookmarkStart w:id="17" w:name="_Toc202272254"/>
      <w:r>
        <w:rPr>
          <w:rFonts w:ascii="宋体" w:hAnsi="宋体" w:eastAsia="宋体"/>
        </w:rPr>
        <w:t>第三</w:t>
      </w:r>
      <w:r>
        <w:rPr>
          <w:rFonts w:ascii="宋体" w:hAnsi="宋体" w:eastAsia="宋体"/>
          <w:spacing w:val="-10"/>
        </w:rPr>
        <w:t>章</w:t>
      </w:r>
      <w:r>
        <w:rPr>
          <w:rFonts w:ascii="宋体" w:hAnsi="宋体" w:eastAsia="宋体"/>
        </w:rPr>
        <w:tab/>
      </w:r>
      <w:r>
        <w:rPr>
          <w:rFonts w:ascii="宋体" w:hAnsi="宋体" w:eastAsia="宋体"/>
        </w:rPr>
        <w:t>评审办法（综合评分法</w:t>
      </w:r>
      <w:r>
        <w:rPr>
          <w:rFonts w:ascii="宋体" w:hAnsi="宋体" w:eastAsia="宋体"/>
          <w:spacing w:val="-10"/>
        </w:rPr>
        <w:t>）</w:t>
      </w:r>
      <w:bookmarkEnd w:id="17"/>
    </w:p>
    <w:p w14:paraId="510B552E">
      <w:pPr>
        <w:pStyle w:val="5"/>
        <w:spacing w:before="63" w:line="240" w:lineRule="auto"/>
        <w:ind w:right="230"/>
        <w:rPr>
          <w:rFonts w:ascii="宋体" w:hAnsi="宋体" w:eastAsia="宋体"/>
        </w:rPr>
      </w:pPr>
      <w:r>
        <w:rPr>
          <w:rFonts w:ascii="宋体" w:hAnsi="宋体" w:eastAsia="宋体"/>
          <w:spacing w:val="-2"/>
        </w:rPr>
        <w:t>一、评审办法前附表</w:t>
      </w:r>
    </w:p>
    <w:p w14:paraId="7FE2619B">
      <w:pPr>
        <w:pStyle w:val="18"/>
        <w:spacing w:before="14"/>
        <w:ind w:left="0"/>
        <w:rPr>
          <w:b/>
          <w:sz w:val="6"/>
        </w:rPr>
      </w:pPr>
    </w:p>
    <w:tbl>
      <w:tblPr>
        <w:tblStyle w:val="46"/>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00"/>
        <w:gridCol w:w="876"/>
        <w:gridCol w:w="2477"/>
        <w:gridCol w:w="4817"/>
      </w:tblGrid>
      <w:tr w14:paraId="09D2C0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5" w:hRule="atLeast"/>
          <w:jc w:val="center"/>
        </w:trPr>
        <w:tc>
          <w:tcPr>
            <w:tcW w:w="1776" w:type="dxa"/>
            <w:gridSpan w:val="2"/>
          </w:tcPr>
          <w:p w14:paraId="68327BFE">
            <w:pPr>
              <w:pStyle w:val="76"/>
              <w:spacing w:before="11"/>
              <w:ind w:left="570"/>
              <w:rPr>
                <w:b/>
                <w:sz w:val="21"/>
              </w:rPr>
            </w:pPr>
            <w:r>
              <w:rPr>
                <w:b/>
                <w:spacing w:val="-4"/>
                <w:sz w:val="21"/>
              </w:rPr>
              <w:t>条款号</w:t>
            </w:r>
          </w:p>
        </w:tc>
        <w:tc>
          <w:tcPr>
            <w:tcW w:w="2477" w:type="dxa"/>
          </w:tcPr>
          <w:p w14:paraId="00F6FDEC">
            <w:pPr>
              <w:pStyle w:val="76"/>
              <w:spacing w:before="11"/>
              <w:ind w:left="79" w:right="69"/>
              <w:jc w:val="center"/>
              <w:rPr>
                <w:b/>
                <w:sz w:val="21"/>
              </w:rPr>
            </w:pPr>
            <w:r>
              <w:rPr>
                <w:b/>
                <w:spacing w:val="-3"/>
                <w:sz w:val="21"/>
              </w:rPr>
              <w:t>评审因素</w:t>
            </w:r>
          </w:p>
        </w:tc>
        <w:tc>
          <w:tcPr>
            <w:tcW w:w="4817" w:type="dxa"/>
          </w:tcPr>
          <w:p w14:paraId="0779D517">
            <w:pPr>
              <w:pStyle w:val="76"/>
              <w:spacing w:before="11"/>
              <w:ind w:left="13"/>
              <w:jc w:val="center"/>
              <w:rPr>
                <w:b/>
                <w:sz w:val="21"/>
              </w:rPr>
            </w:pPr>
            <w:r>
              <w:rPr>
                <w:b/>
                <w:spacing w:val="-3"/>
                <w:sz w:val="21"/>
              </w:rPr>
              <w:t>评审标准</w:t>
            </w:r>
          </w:p>
        </w:tc>
      </w:tr>
      <w:tr w14:paraId="00177F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8" w:hRule="atLeast"/>
          <w:jc w:val="center"/>
        </w:trPr>
        <w:tc>
          <w:tcPr>
            <w:tcW w:w="900" w:type="dxa"/>
            <w:vMerge w:val="restart"/>
            <w:vAlign w:val="center"/>
          </w:tcPr>
          <w:p w14:paraId="4CA4CD95">
            <w:pPr>
              <w:pStyle w:val="76"/>
              <w:rPr>
                <w:b/>
                <w:sz w:val="21"/>
              </w:rPr>
            </w:pPr>
          </w:p>
          <w:p w14:paraId="03382E3A">
            <w:pPr>
              <w:pStyle w:val="76"/>
              <w:rPr>
                <w:b/>
                <w:sz w:val="21"/>
              </w:rPr>
            </w:pPr>
          </w:p>
          <w:p w14:paraId="0E3A629F">
            <w:pPr>
              <w:pStyle w:val="76"/>
              <w:spacing w:before="76"/>
              <w:rPr>
                <w:b/>
                <w:sz w:val="21"/>
              </w:rPr>
            </w:pPr>
          </w:p>
          <w:p w14:paraId="62D985F2">
            <w:pPr>
              <w:pStyle w:val="76"/>
              <w:ind w:left="132"/>
              <w:rPr>
                <w:sz w:val="21"/>
              </w:rPr>
            </w:pPr>
            <w:r>
              <w:rPr>
                <w:spacing w:val="-2"/>
                <w:sz w:val="21"/>
              </w:rPr>
              <w:t>2.1.1</w:t>
            </w:r>
          </w:p>
        </w:tc>
        <w:tc>
          <w:tcPr>
            <w:tcW w:w="876" w:type="dxa"/>
            <w:vMerge w:val="restart"/>
            <w:vAlign w:val="center"/>
          </w:tcPr>
          <w:p w14:paraId="054B93FA">
            <w:pPr>
              <w:pStyle w:val="76"/>
              <w:rPr>
                <w:b/>
                <w:sz w:val="21"/>
              </w:rPr>
            </w:pPr>
          </w:p>
          <w:p w14:paraId="10B1D0A5">
            <w:pPr>
              <w:pStyle w:val="76"/>
              <w:spacing w:before="258"/>
              <w:rPr>
                <w:b/>
                <w:sz w:val="21"/>
              </w:rPr>
            </w:pPr>
          </w:p>
          <w:p w14:paraId="5E45CF88">
            <w:pPr>
              <w:pStyle w:val="76"/>
              <w:spacing w:line="364" w:lineRule="auto"/>
              <w:ind w:right="5" w:firstLine="16"/>
              <w:jc w:val="center"/>
              <w:rPr>
                <w:sz w:val="21"/>
              </w:rPr>
            </w:pPr>
            <w:r>
              <w:rPr>
                <w:spacing w:val="-4"/>
                <w:sz w:val="21"/>
              </w:rPr>
              <w:t>形式评审标准</w:t>
            </w:r>
          </w:p>
        </w:tc>
        <w:tc>
          <w:tcPr>
            <w:tcW w:w="2477" w:type="dxa"/>
            <w:vAlign w:val="center"/>
          </w:tcPr>
          <w:p w14:paraId="3ED39F48">
            <w:pPr>
              <w:pStyle w:val="76"/>
              <w:spacing w:before="82"/>
              <w:ind w:left="79" w:right="69"/>
              <w:jc w:val="center"/>
              <w:rPr>
                <w:sz w:val="21"/>
              </w:rPr>
            </w:pPr>
            <w:r>
              <w:rPr>
                <w:spacing w:val="-4"/>
                <w:sz w:val="21"/>
              </w:rPr>
              <w:t>标书雷同性分析</w:t>
            </w:r>
          </w:p>
        </w:tc>
        <w:tc>
          <w:tcPr>
            <w:tcW w:w="4817" w:type="dxa"/>
            <w:vAlign w:val="center"/>
          </w:tcPr>
          <w:p w14:paraId="1C89C1CA">
            <w:pPr>
              <w:pStyle w:val="76"/>
              <w:spacing w:before="82"/>
              <w:ind w:left="79" w:right="69"/>
              <w:rPr>
                <w:spacing w:val="-4"/>
                <w:sz w:val="21"/>
              </w:rPr>
            </w:pPr>
            <w:r>
              <w:rPr>
                <w:spacing w:val="-4"/>
                <w:sz w:val="21"/>
              </w:rPr>
              <w:t>投标（响应）文件制作机器码不能一致</w:t>
            </w:r>
          </w:p>
        </w:tc>
      </w:tr>
      <w:tr w14:paraId="474CC7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6" w:hRule="atLeast"/>
          <w:jc w:val="center"/>
        </w:trPr>
        <w:tc>
          <w:tcPr>
            <w:tcW w:w="900" w:type="dxa"/>
            <w:vMerge w:val="continue"/>
            <w:tcBorders>
              <w:top w:val="nil"/>
            </w:tcBorders>
            <w:vAlign w:val="center"/>
          </w:tcPr>
          <w:p w14:paraId="7CDB909C">
            <w:pPr>
              <w:rPr>
                <w:sz w:val="2"/>
                <w:szCs w:val="2"/>
              </w:rPr>
            </w:pPr>
          </w:p>
        </w:tc>
        <w:tc>
          <w:tcPr>
            <w:tcW w:w="876" w:type="dxa"/>
            <w:vMerge w:val="continue"/>
            <w:tcBorders>
              <w:top w:val="nil"/>
            </w:tcBorders>
            <w:vAlign w:val="center"/>
          </w:tcPr>
          <w:p w14:paraId="4D589E0E">
            <w:pPr>
              <w:rPr>
                <w:sz w:val="2"/>
                <w:szCs w:val="2"/>
              </w:rPr>
            </w:pPr>
          </w:p>
        </w:tc>
        <w:tc>
          <w:tcPr>
            <w:tcW w:w="2477" w:type="dxa"/>
            <w:vAlign w:val="center"/>
          </w:tcPr>
          <w:p w14:paraId="1715849E">
            <w:pPr>
              <w:pStyle w:val="76"/>
              <w:spacing w:before="80"/>
              <w:ind w:left="12"/>
              <w:jc w:val="center"/>
              <w:rPr>
                <w:sz w:val="21"/>
              </w:rPr>
            </w:pPr>
            <w:r>
              <w:rPr>
                <w:spacing w:val="-4"/>
                <w:sz w:val="21"/>
              </w:rPr>
              <w:t>供应商名称</w:t>
            </w:r>
          </w:p>
        </w:tc>
        <w:tc>
          <w:tcPr>
            <w:tcW w:w="4817" w:type="dxa"/>
            <w:vAlign w:val="center"/>
          </w:tcPr>
          <w:p w14:paraId="798316A1">
            <w:pPr>
              <w:pStyle w:val="76"/>
              <w:spacing w:before="82"/>
              <w:ind w:left="79" w:right="69"/>
              <w:rPr>
                <w:spacing w:val="-4"/>
                <w:sz w:val="21"/>
              </w:rPr>
            </w:pPr>
            <w:r>
              <w:rPr>
                <w:spacing w:val="-4"/>
                <w:sz w:val="21"/>
              </w:rPr>
              <w:t>与营业执照、资质证书一致</w:t>
            </w:r>
          </w:p>
        </w:tc>
      </w:tr>
      <w:tr w14:paraId="29BD11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8" w:hRule="atLeast"/>
          <w:jc w:val="center"/>
        </w:trPr>
        <w:tc>
          <w:tcPr>
            <w:tcW w:w="900" w:type="dxa"/>
            <w:vMerge w:val="continue"/>
            <w:tcBorders>
              <w:top w:val="nil"/>
            </w:tcBorders>
            <w:vAlign w:val="center"/>
          </w:tcPr>
          <w:p w14:paraId="6F1C5500">
            <w:pPr>
              <w:rPr>
                <w:sz w:val="2"/>
                <w:szCs w:val="2"/>
              </w:rPr>
            </w:pPr>
          </w:p>
        </w:tc>
        <w:tc>
          <w:tcPr>
            <w:tcW w:w="876" w:type="dxa"/>
            <w:vMerge w:val="continue"/>
            <w:tcBorders>
              <w:top w:val="nil"/>
            </w:tcBorders>
            <w:vAlign w:val="center"/>
          </w:tcPr>
          <w:p w14:paraId="4849AA02">
            <w:pPr>
              <w:rPr>
                <w:sz w:val="2"/>
                <w:szCs w:val="2"/>
              </w:rPr>
            </w:pPr>
          </w:p>
        </w:tc>
        <w:tc>
          <w:tcPr>
            <w:tcW w:w="2477" w:type="dxa"/>
            <w:vAlign w:val="center"/>
          </w:tcPr>
          <w:p w14:paraId="46665816">
            <w:pPr>
              <w:pStyle w:val="76"/>
              <w:spacing w:before="80"/>
              <w:ind w:left="11"/>
              <w:jc w:val="center"/>
              <w:rPr>
                <w:sz w:val="21"/>
              </w:rPr>
            </w:pPr>
            <w:r>
              <w:rPr>
                <w:spacing w:val="-3"/>
                <w:sz w:val="21"/>
              </w:rPr>
              <w:t>磋商响应函签字盖章</w:t>
            </w:r>
          </w:p>
        </w:tc>
        <w:tc>
          <w:tcPr>
            <w:tcW w:w="4817" w:type="dxa"/>
            <w:vAlign w:val="center"/>
          </w:tcPr>
          <w:p w14:paraId="53A81BF5">
            <w:pPr>
              <w:pStyle w:val="76"/>
              <w:spacing w:before="82"/>
              <w:ind w:left="79" w:right="69"/>
              <w:rPr>
                <w:spacing w:val="-4"/>
                <w:sz w:val="21"/>
              </w:rPr>
            </w:pPr>
            <w:r>
              <w:rPr>
                <w:spacing w:val="-4"/>
                <w:sz w:val="21"/>
              </w:rPr>
              <w:t>符合竞争性磋商文件规定</w:t>
            </w:r>
          </w:p>
        </w:tc>
      </w:tr>
      <w:tr w14:paraId="396938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6" w:hRule="atLeast"/>
          <w:jc w:val="center"/>
        </w:trPr>
        <w:tc>
          <w:tcPr>
            <w:tcW w:w="900" w:type="dxa"/>
            <w:vMerge w:val="continue"/>
            <w:tcBorders>
              <w:top w:val="nil"/>
            </w:tcBorders>
            <w:vAlign w:val="center"/>
          </w:tcPr>
          <w:p w14:paraId="07BDC020">
            <w:pPr>
              <w:rPr>
                <w:sz w:val="2"/>
                <w:szCs w:val="2"/>
              </w:rPr>
            </w:pPr>
          </w:p>
        </w:tc>
        <w:tc>
          <w:tcPr>
            <w:tcW w:w="876" w:type="dxa"/>
            <w:vMerge w:val="continue"/>
            <w:tcBorders>
              <w:top w:val="nil"/>
            </w:tcBorders>
            <w:vAlign w:val="center"/>
          </w:tcPr>
          <w:p w14:paraId="6A37919D">
            <w:pPr>
              <w:rPr>
                <w:sz w:val="2"/>
                <w:szCs w:val="2"/>
              </w:rPr>
            </w:pPr>
          </w:p>
        </w:tc>
        <w:tc>
          <w:tcPr>
            <w:tcW w:w="2477" w:type="dxa"/>
            <w:vAlign w:val="center"/>
          </w:tcPr>
          <w:p w14:paraId="168AAA35">
            <w:pPr>
              <w:pStyle w:val="76"/>
              <w:spacing w:before="80"/>
              <w:ind w:left="79" w:right="69"/>
              <w:jc w:val="center"/>
              <w:rPr>
                <w:sz w:val="21"/>
              </w:rPr>
            </w:pPr>
            <w:r>
              <w:rPr>
                <w:spacing w:val="-4"/>
                <w:sz w:val="21"/>
              </w:rPr>
              <w:t>响应文件格式</w:t>
            </w:r>
          </w:p>
        </w:tc>
        <w:tc>
          <w:tcPr>
            <w:tcW w:w="4817" w:type="dxa"/>
            <w:vAlign w:val="center"/>
          </w:tcPr>
          <w:p w14:paraId="08241B19">
            <w:pPr>
              <w:pStyle w:val="76"/>
              <w:spacing w:before="82"/>
              <w:ind w:left="79" w:right="69"/>
              <w:rPr>
                <w:spacing w:val="-4"/>
                <w:sz w:val="21"/>
              </w:rPr>
            </w:pPr>
            <w:r>
              <w:rPr>
                <w:spacing w:val="-4"/>
                <w:sz w:val="21"/>
              </w:rPr>
              <w:t>符合竞争性磋商文件中提供的响应文件格式</w:t>
            </w:r>
          </w:p>
        </w:tc>
      </w:tr>
      <w:tr w14:paraId="26C244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5" w:hRule="atLeast"/>
          <w:jc w:val="center"/>
        </w:trPr>
        <w:tc>
          <w:tcPr>
            <w:tcW w:w="900" w:type="dxa"/>
            <w:vMerge w:val="continue"/>
            <w:tcBorders>
              <w:top w:val="nil"/>
            </w:tcBorders>
            <w:vAlign w:val="center"/>
          </w:tcPr>
          <w:p w14:paraId="2E955095">
            <w:pPr>
              <w:rPr>
                <w:sz w:val="2"/>
                <w:szCs w:val="2"/>
              </w:rPr>
            </w:pPr>
          </w:p>
        </w:tc>
        <w:tc>
          <w:tcPr>
            <w:tcW w:w="876" w:type="dxa"/>
            <w:vMerge w:val="continue"/>
            <w:tcBorders>
              <w:top w:val="nil"/>
            </w:tcBorders>
            <w:vAlign w:val="center"/>
          </w:tcPr>
          <w:p w14:paraId="764413E1">
            <w:pPr>
              <w:rPr>
                <w:sz w:val="2"/>
                <w:szCs w:val="2"/>
              </w:rPr>
            </w:pPr>
          </w:p>
        </w:tc>
        <w:tc>
          <w:tcPr>
            <w:tcW w:w="2477" w:type="dxa"/>
            <w:vAlign w:val="center"/>
          </w:tcPr>
          <w:p w14:paraId="3EDB65EE">
            <w:pPr>
              <w:pStyle w:val="76"/>
              <w:spacing w:before="80"/>
              <w:ind w:left="12"/>
              <w:jc w:val="center"/>
              <w:rPr>
                <w:sz w:val="21"/>
              </w:rPr>
            </w:pPr>
            <w:r>
              <w:rPr>
                <w:spacing w:val="-4"/>
                <w:sz w:val="21"/>
              </w:rPr>
              <w:t>报价唯一</w:t>
            </w:r>
          </w:p>
        </w:tc>
        <w:tc>
          <w:tcPr>
            <w:tcW w:w="4817" w:type="dxa"/>
            <w:vAlign w:val="center"/>
          </w:tcPr>
          <w:p w14:paraId="60C5BD32">
            <w:pPr>
              <w:pStyle w:val="76"/>
              <w:spacing w:before="82"/>
              <w:ind w:left="79" w:right="69"/>
              <w:rPr>
                <w:spacing w:val="-4"/>
                <w:sz w:val="21"/>
              </w:rPr>
            </w:pPr>
            <w:r>
              <w:rPr>
                <w:spacing w:val="-4"/>
                <w:sz w:val="21"/>
              </w:rPr>
              <w:t>只能有一个有效报价</w:t>
            </w:r>
          </w:p>
        </w:tc>
      </w:tr>
      <w:tr w14:paraId="120F1B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17" w:hRule="atLeast"/>
          <w:jc w:val="center"/>
        </w:trPr>
        <w:tc>
          <w:tcPr>
            <w:tcW w:w="900" w:type="dxa"/>
            <w:vMerge w:val="restart"/>
          </w:tcPr>
          <w:p w14:paraId="3108056C">
            <w:pPr>
              <w:pStyle w:val="76"/>
              <w:rPr>
                <w:b/>
                <w:sz w:val="21"/>
              </w:rPr>
            </w:pPr>
          </w:p>
          <w:p w14:paraId="7A6FEE0A">
            <w:pPr>
              <w:pStyle w:val="76"/>
              <w:rPr>
                <w:b/>
                <w:sz w:val="21"/>
              </w:rPr>
            </w:pPr>
          </w:p>
          <w:p w14:paraId="69734DC4">
            <w:pPr>
              <w:pStyle w:val="76"/>
              <w:rPr>
                <w:b/>
                <w:sz w:val="21"/>
              </w:rPr>
            </w:pPr>
          </w:p>
          <w:p w14:paraId="119D40E1">
            <w:pPr>
              <w:pStyle w:val="76"/>
              <w:rPr>
                <w:b/>
                <w:sz w:val="21"/>
              </w:rPr>
            </w:pPr>
          </w:p>
          <w:p w14:paraId="1027DBBB">
            <w:pPr>
              <w:pStyle w:val="76"/>
              <w:rPr>
                <w:b/>
                <w:sz w:val="21"/>
              </w:rPr>
            </w:pPr>
          </w:p>
          <w:p w14:paraId="47FF2F2A">
            <w:pPr>
              <w:pStyle w:val="76"/>
              <w:rPr>
                <w:b/>
                <w:sz w:val="21"/>
              </w:rPr>
            </w:pPr>
          </w:p>
          <w:p w14:paraId="79CE4BDF">
            <w:pPr>
              <w:pStyle w:val="76"/>
              <w:rPr>
                <w:b/>
                <w:sz w:val="21"/>
              </w:rPr>
            </w:pPr>
          </w:p>
          <w:p w14:paraId="64C57BA6">
            <w:pPr>
              <w:pStyle w:val="76"/>
              <w:rPr>
                <w:b/>
                <w:sz w:val="21"/>
              </w:rPr>
            </w:pPr>
          </w:p>
          <w:p w14:paraId="17CA7C4D">
            <w:pPr>
              <w:pStyle w:val="76"/>
              <w:rPr>
                <w:b/>
                <w:sz w:val="21"/>
              </w:rPr>
            </w:pPr>
          </w:p>
          <w:p w14:paraId="71E2773E">
            <w:pPr>
              <w:pStyle w:val="76"/>
              <w:rPr>
                <w:b/>
                <w:sz w:val="21"/>
              </w:rPr>
            </w:pPr>
          </w:p>
          <w:p w14:paraId="4969376D">
            <w:pPr>
              <w:pStyle w:val="76"/>
              <w:spacing w:before="73"/>
              <w:rPr>
                <w:b/>
                <w:sz w:val="21"/>
              </w:rPr>
            </w:pPr>
          </w:p>
          <w:p w14:paraId="461FB15E">
            <w:pPr>
              <w:pStyle w:val="76"/>
              <w:ind w:left="132"/>
              <w:rPr>
                <w:sz w:val="21"/>
              </w:rPr>
            </w:pPr>
            <w:r>
              <w:rPr>
                <w:spacing w:val="-2"/>
                <w:sz w:val="21"/>
              </w:rPr>
              <w:t>2.1.2</w:t>
            </w:r>
          </w:p>
        </w:tc>
        <w:tc>
          <w:tcPr>
            <w:tcW w:w="876" w:type="dxa"/>
            <w:vMerge w:val="restart"/>
          </w:tcPr>
          <w:p w14:paraId="6500BCCA">
            <w:pPr>
              <w:pStyle w:val="76"/>
              <w:jc w:val="center"/>
              <w:rPr>
                <w:b/>
                <w:sz w:val="21"/>
              </w:rPr>
            </w:pPr>
          </w:p>
          <w:p w14:paraId="7A9224B6">
            <w:pPr>
              <w:pStyle w:val="76"/>
              <w:jc w:val="center"/>
              <w:rPr>
                <w:b/>
                <w:sz w:val="21"/>
              </w:rPr>
            </w:pPr>
          </w:p>
          <w:p w14:paraId="38A489FD">
            <w:pPr>
              <w:pStyle w:val="76"/>
              <w:jc w:val="center"/>
              <w:rPr>
                <w:b/>
                <w:sz w:val="21"/>
              </w:rPr>
            </w:pPr>
          </w:p>
          <w:p w14:paraId="31D42E0E">
            <w:pPr>
              <w:pStyle w:val="76"/>
              <w:jc w:val="center"/>
              <w:rPr>
                <w:b/>
                <w:sz w:val="21"/>
              </w:rPr>
            </w:pPr>
          </w:p>
          <w:p w14:paraId="16385D01">
            <w:pPr>
              <w:pStyle w:val="76"/>
              <w:jc w:val="center"/>
              <w:rPr>
                <w:b/>
                <w:sz w:val="21"/>
              </w:rPr>
            </w:pPr>
          </w:p>
          <w:p w14:paraId="75D90BDD">
            <w:pPr>
              <w:pStyle w:val="76"/>
              <w:jc w:val="center"/>
              <w:rPr>
                <w:b/>
                <w:sz w:val="21"/>
              </w:rPr>
            </w:pPr>
          </w:p>
          <w:p w14:paraId="02F0D71D">
            <w:pPr>
              <w:pStyle w:val="76"/>
              <w:jc w:val="center"/>
              <w:rPr>
                <w:b/>
                <w:sz w:val="21"/>
              </w:rPr>
            </w:pPr>
          </w:p>
          <w:p w14:paraId="679A19A9">
            <w:pPr>
              <w:pStyle w:val="76"/>
              <w:jc w:val="center"/>
              <w:rPr>
                <w:b/>
                <w:sz w:val="21"/>
              </w:rPr>
            </w:pPr>
          </w:p>
          <w:p w14:paraId="54CC0327">
            <w:pPr>
              <w:pStyle w:val="76"/>
              <w:jc w:val="center"/>
              <w:rPr>
                <w:b/>
                <w:sz w:val="21"/>
              </w:rPr>
            </w:pPr>
          </w:p>
          <w:p w14:paraId="13D8E6B0">
            <w:pPr>
              <w:pStyle w:val="76"/>
              <w:spacing w:before="255"/>
              <w:jc w:val="center"/>
              <w:rPr>
                <w:b/>
                <w:sz w:val="21"/>
              </w:rPr>
            </w:pPr>
          </w:p>
          <w:p w14:paraId="22DE4471">
            <w:pPr>
              <w:pStyle w:val="76"/>
              <w:spacing w:line="364" w:lineRule="auto"/>
              <w:ind w:right="5" w:firstLine="16"/>
              <w:jc w:val="center"/>
              <w:rPr>
                <w:sz w:val="21"/>
              </w:rPr>
            </w:pPr>
            <w:r>
              <w:rPr>
                <w:spacing w:val="-4"/>
                <w:sz w:val="21"/>
              </w:rPr>
              <w:t>资格评审</w:t>
            </w:r>
            <w:r>
              <w:rPr>
                <w:spacing w:val="-6"/>
                <w:sz w:val="21"/>
              </w:rPr>
              <w:t>标准</w:t>
            </w:r>
          </w:p>
        </w:tc>
        <w:tc>
          <w:tcPr>
            <w:tcW w:w="2477" w:type="dxa"/>
            <w:vAlign w:val="center"/>
          </w:tcPr>
          <w:p w14:paraId="1FD5AD49">
            <w:pPr>
              <w:pStyle w:val="76"/>
              <w:spacing w:before="3"/>
              <w:ind w:left="78" w:right="69"/>
              <w:jc w:val="center"/>
              <w:rPr>
                <w:sz w:val="21"/>
              </w:rPr>
            </w:pPr>
            <w:r>
              <w:rPr>
                <w:spacing w:val="-3"/>
                <w:sz w:val="21"/>
              </w:rPr>
              <w:t>具有独立承担民事责任的</w:t>
            </w:r>
            <w:r>
              <w:rPr>
                <w:spacing w:val="-5"/>
                <w:sz w:val="21"/>
              </w:rPr>
              <w:t>能力</w:t>
            </w:r>
          </w:p>
        </w:tc>
        <w:tc>
          <w:tcPr>
            <w:tcW w:w="4817" w:type="dxa"/>
          </w:tcPr>
          <w:p w14:paraId="303E677D">
            <w:pPr>
              <w:pStyle w:val="76"/>
              <w:spacing w:before="3"/>
              <w:ind w:left="4"/>
              <w:rPr>
                <w:sz w:val="21"/>
              </w:rPr>
            </w:pPr>
            <w:r>
              <w:rPr>
                <w:spacing w:val="-3"/>
                <w:sz w:val="21"/>
              </w:rPr>
              <w:t>提供有效的营业执照或事业单位法人证书或自然人</w:t>
            </w:r>
          </w:p>
          <w:p w14:paraId="2F842998">
            <w:pPr>
              <w:pStyle w:val="76"/>
              <w:spacing w:before="139"/>
              <w:ind w:left="4"/>
              <w:rPr>
                <w:sz w:val="21"/>
              </w:rPr>
            </w:pPr>
            <w:r>
              <w:rPr>
                <w:spacing w:val="-3"/>
                <w:sz w:val="21"/>
              </w:rPr>
              <w:t>身份证明等证明材料</w:t>
            </w:r>
          </w:p>
        </w:tc>
      </w:tr>
      <w:tr w14:paraId="6EA14C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26" w:hRule="atLeast"/>
          <w:jc w:val="center"/>
        </w:trPr>
        <w:tc>
          <w:tcPr>
            <w:tcW w:w="900" w:type="dxa"/>
            <w:vMerge w:val="continue"/>
          </w:tcPr>
          <w:p w14:paraId="634E1EB4">
            <w:pPr>
              <w:rPr>
                <w:sz w:val="2"/>
                <w:szCs w:val="2"/>
              </w:rPr>
            </w:pPr>
          </w:p>
        </w:tc>
        <w:tc>
          <w:tcPr>
            <w:tcW w:w="876" w:type="dxa"/>
            <w:vMerge w:val="continue"/>
          </w:tcPr>
          <w:p w14:paraId="4393CE71">
            <w:pPr>
              <w:rPr>
                <w:sz w:val="2"/>
                <w:szCs w:val="2"/>
              </w:rPr>
            </w:pPr>
          </w:p>
        </w:tc>
        <w:tc>
          <w:tcPr>
            <w:tcW w:w="2477" w:type="dxa"/>
            <w:vAlign w:val="center"/>
          </w:tcPr>
          <w:p w14:paraId="4BC84D34">
            <w:pPr>
              <w:pStyle w:val="76"/>
              <w:spacing w:before="205" w:line="367" w:lineRule="auto"/>
              <w:ind w:left="64" w:right="69" w:firstLine="16"/>
              <w:jc w:val="center"/>
              <w:rPr>
                <w:sz w:val="21"/>
              </w:rPr>
            </w:pPr>
            <w:r>
              <w:rPr>
                <w:spacing w:val="-2"/>
                <w:sz w:val="21"/>
              </w:rPr>
              <w:t>具有良好的商业信誉和健全的财务会计制度</w:t>
            </w:r>
          </w:p>
        </w:tc>
        <w:tc>
          <w:tcPr>
            <w:tcW w:w="4817" w:type="dxa"/>
          </w:tcPr>
          <w:p w14:paraId="7946B368">
            <w:pPr>
              <w:pStyle w:val="76"/>
              <w:spacing w:before="1" w:line="364" w:lineRule="auto"/>
              <w:ind w:left="4" w:right="174"/>
              <w:rPr>
                <w:sz w:val="21"/>
              </w:rPr>
            </w:pPr>
            <w:r>
              <w:rPr>
                <w:spacing w:val="-2"/>
                <w:sz w:val="21"/>
              </w:rPr>
              <w:t>提供2023年度或2024年度经会计师事务所审计的财务审计报告（</w:t>
            </w:r>
            <w:r>
              <w:rPr>
                <w:spacing w:val="-3"/>
                <w:sz w:val="21"/>
              </w:rPr>
              <w:t>公司成立年限不足一年的企业应提供</w:t>
            </w:r>
            <w:r>
              <w:rPr>
                <w:spacing w:val="-2"/>
                <w:sz w:val="21"/>
              </w:rPr>
              <w:t>其基本开户银行出具的资信证明</w:t>
            </w:r>
            <w:r>
              <w:rPr>
                <w:spacing w:val="-10"/>
                <w:sz w:val="21"/>
              </w:rPr>
              <w:t>）</w:t>
            </w:r>
          </w:p>
        </w:tc>
      </w:tr>
      <w:tr w14:paraId="306027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15" w:hRule="atLeast"/>
          <w:jc w:val="center"/>
        </w:trPr>
        <w:tc>
          <w:tcPr>
            <w:tcW w:w="900" w:type="dxa"/>
            <w:vMerge w:val="continue"/>
          </w:tcPr>
          <w:p w14:paraId="35B6E5C7">
            <w:pPr>
              <w:rPr>
                <w:sz w:val="2"/>
                <w:szCs w:val="2"/>
              </w:rPr>
            </w:pPr>
          </w:p>
        </w:tc>
        <w:tc>
          <w:tcPr>
            <w:tcW w:w="876" w:type="dxa"/>
            <w:vMerge w:val="continue"/>
          </w:tcPr>
          <w:p w14:paraId="5BC85AD4">
            <w:pPr>
              <w:rPr>
                <w:sz w:val="2"/>
                <w:szCs w:val="2"/>
              </w:rPr>
            </w:pPr>
          </w:p>
        </w:tc>
        <w:tc>
          <w:tcPr>
            <w:tcW w:w="2477" w:type="dxa"/>
            <w:vAlign w:val="center"/>
          </w:tcPr>
          <w:p w14:paraId="3F7F2A3B">
            <w:pPr>
              <w:pStyle w:val="76"/>
              <w:spacing w:before="1"/>
              <w:ind w:left="78" w:right="69"/>
              <w:jc w:val="center"/>
              <w:rPr>
                <w:sz w:val="21"/>
              </w:rPr>
            </w:pPr>
            <w:r>
              <w:rPr>
                <w:spacing w:val="-3"/>
                <w:sz w:val="21"/>
              </w:rPr>
              <w:t>具有履行合同所必需的设</w:t>
            </w:r>
            <w:r>
              <w:rPr>
                <w:spacing w:val="-4"/>
                <w:sz w:val="21"/>
              </w:rPr>
              <w:t>备和专业技术能力</w:t>
            </w:r>
          </w:p>
        </w:tc>
        <w:tc>
          <w:tcPr>
            <w:tcW w:w="4817" w:type="dxa"/>
          </w:tcPr>
          <w:p w14:paraId="2B9DAFAB">
            <w:pPr>
              <w:pStyle w:val="76"/>
              <w:spacing w:before="205"/>
              <w:ind w:left="4"/>
              <w:rPr>
                <w:sz w:val="21"/>
              </w:rPr>
            </w:pPr>
            <w:r>
              <w:rPr>
                <w:spacing w:val="-3"/>
                <w:sz w:val="21"/>
              </w:rPr>
              <w:t>提供相关证明材料或承诺书</w:t>
            </w:r>
          </w:p>
        </w:tc>
      </w:tr>
      <w:tr w14:paraId="7EE596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34" w:hRule="atLeast"/>
          <w:jc w:val="center"/>
        </w:trPr>
        <w:tc>
          <w:tcPr>
            <w:tcW w:w="900" w:type="dxa"/>
            <w:vMerge w:val="continue"/>
          </w:tcPr>
          <w:p w14:paraId="2E9ABC0F">
            <w:pPr>
              <w:rPr>
                <w:sz w:val="2"/>
                <w:szCs w:val="2"/>
              </w:rPr>
            </w:pPr>
          </w:p>
        </w:tc>
        <w:tc>
          <w:tcPr>
            <w:tcW w:w="876" w:type="dxa"/>
            <w:vMerge w:val="continue"/>
          </w:tcPr>
          <w:p w14:paraId="67458154">
            <w:pPr>
              <w:rPr>
                <w:sz w:val="2"/>
                <w:szCs w:val="2"/>
              </w:rPr>
            </w:pPr>
          </w:p>
        </w:tc>
        <w:tc>
          <w:tcPr>
            <w:tcW w:w="2477" w:type="dxa"/>
            <w:vAlign w:val="center"/>
          </w:tcPr>
          <w:p w14:paraId="61F0C3E2">
            <w:pPr>
              <w:pStyle w:val="76"/>
              <w:spacing w:before="25"/>
              <w:rPr>
                <w:b/>
                <w:sz w:val="21"/>
              </w:rPr>
            </w:pPr>
          </w:p>
          <w:p w14:paraId="596E9441">
            <w:pPr>
              <w:pStyle w:val="76"/>
              <w:spacing w:line="364" w:lineRule="auto"/>
              <w:ind w:left="64" w:right="69" w:firstLine="16"/>
              <w:jc w:val="center"/>
              <w:rPr>
                <w:sz w:val="21"/>
              </w:rPr>
            </w:pPr>
            <w:r>
              <w:rPr>
                <w:spacing w:val="-2"/>
                <w:sz w:val="21"/>
              </w:rPr>
              <w:t>有依法缴纳税收和社会保障资金的良好记录</w:t>
            </w:r>
          </w:p>
        </w:tc>
        <w:tc>
          <w:tcPr>
            <w:tcW w:w="4817" w:type="dxa"/>
          </w:tcPr>
          <w:p w14:paraId="334C32B4">
            <w:pPr>
              <w:pStyle w:val="76"/>
              <w:spacing w:before="3" w:line="364" w:lineRule="auto"/>
              <w:ind w:left="4" w:right="70"/>
              <w:rPr>
                <w:sz w:val="21"/>
              </w:rPr>
            </w:pPr>
            <w:r>
              <w:rPr>
                <w:spacing w:val="-2"/>
                <w:sz w:val="21"/>
              </w:rPr>
              <w:t>提供2024年7月1日以来任意1个月的相关缴纳税收和社会保障资金的证明材料，依法免税或不需要缴纳税收和缴纳社会保障资金的供应商，须出具有效证</w:t>
            </w:r>
            <w:r>
              <w:rPr>
                <w:spacing w:val="-4"/>
                <w:sz w:val="21"/>
              </w:rPr>
              <w:t>明文件</w:t>
            </w:r>
          </w:p>
        </w:tc>
      </w:tr>
      <w:tr w14:paraId="4FBC3D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25" w:hRule="atLeast"/>
          <w:jc w:val="center"/>
        </w:trPr>
        <w:tc>
          <w:tcPr>
            <w:tcW w:w="900" w:type="dxa"/>
            <w:vMerge w:val="continue"/>
          </w:tcPr>
          <w:p w14:paraId="76C5481D">
            <w:pPr>
              <w:rPr>
                <w:sz w:val="2"/>
                <w:szCs w:val="2"/>
              </w:rPr>
            </w:pPr>
          </w:p>
        </w:tc>
        <w:tc>
          <w:tcPr>
            <w:tcW w:w="876" w:type="dxa"/>
            <w:vMerge w:val="continue"/>
          </w:tcPr>
          <w:p w14:paraId="214AD88A">
            <w:pPr>
              <w:rPr>
                <w:sz w:val="2"/>
                <w:szCs w:val="2"/>
              </w:rPr>
            </w:pPr>
          </w:p>
        </w:tc>
        <w:tc>
          <w:tcPr>
            <w:tcW w:w="2477" w:type="dxa"/>
            <w:vAlign w:val="center"/>
          </w:tcPr>
          <w:p w14:paraId="2FB96805">
            <w:pPr>
              <w:pStyle w:val="76"/>
              <w:spacing w:before="3" w:line="364" w:lineRule="auto"/>
              <w:ind w:left="81" w:right="69"/>
              <w:jc w:val="center"/>
              <w:rPr>
                <w:sz w:val="21"/>
              </w:rPr>
            </w:pPr>
            <w:r>
              <w:rPr>
                <w:spacing w:val="-2"/>
                <w:sz w:val="21"/>
              </w:rPr>
              <w:t>参加政府采购活动前三年</w:t>
            </w:r>
            <w:r>
              <w:rPr>
                <w:spacing w:val="-3"/>
                <w:sz w:val="21"/>
              </w:rPr>
              <w:t>内，在经营活动中没有重</w:t>
            </w:r>
            <w:r>
              <w:rPr>
                <w:spacing w:val="-4"/>
                <w:sz w:val="21"/>
              </w:rPr>
              <w:t>大违法记录</w:t>
            </w:r>
          </w:p>
        </w:tc>
        <w:tc>
          <w:tcPr>
            <w:tcW w:w="4817" w:type="dxa"/>
          </w:tcPr>
          <w:p w14:paraId="2FBB8AB9">
            <w:pPr>
              <w:pStyle w:val="76"/>
              <w:spacing w:before="25"/>
              <w:rPr>
                <w:b/>
                <w:sz w:val="21"/>
              </w:rPr>
            </w:pPr>
          </w:p>
          <w:p w14:paraId="047734E5">
            <w:pPr>
              <w:pStyle w:val="76"/>
              <w:ind w:left="4"/>
              <w:rPr>
                <w:sz w:val="21"/>
              </w:rPr>
            </w:pPr>
            <w:r>
              <w:rPr>
                <w:spacing w:val="-3"/>
                <w:sz w:val="21"/>
              </w:rPr>
              <w:t>提供承诺书，格式自拟</w:t>
            </w:r>
          </w:p>
        </w:tc>
      </w:tr>
      <w:tr w14:paraId="00ABAC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82" w:hRule="atLeast"/>
          <w:jc w:val="center"/>
        </w:trPr>
        <w:tc>
          <w:tcPr>
            <w:tcW w:w="900" w:type="dxa"/>
            <w:vMerge w:val="continue"/>
          </w:tcPr>
          <w:p w14:paraId="54A7A220">
            <w:pPr>
              <w:rPr>
                <w:sz w:val="2"/>
                <w:szCs w:val="2"/>
              </w:rPr>
            </w:pPr>
          </w:p>
        </w:tc>
        <w:tc>
          <w:tcPr>
            <w:tcW w:w="876" w:type="dxa"/>
            <w:vMerge w:val="continue"/>
          </w:tcPr>
          <w:p w14:paraId="7690CD14">
            <w:pPr>
              <w:rPr>
                <w:sz w:val="2"/>
                <w:szCs w:val="2"/>
              </w:rPr>
            </w:pPr>
          </w:p>
        </w:tc>
        <w:tc>
          <w:tcPr>
            <w:tcW w:w="2477" w:type="dxa"/>
            <w:vAlign w:val="center"/>
          </w:tcPr>
          <w:p w14:paraId="5333CECF">
            <w:pPr>
              <w:pStyle w:val="76"/>
              <w:spacing w:line="364" w:lineRule="auto"/>
              <w:ind w:left="1133" w:right="69" w:hanging="1052"/>
              <w:jc w:val="center"/>
              <w:rPr>
                <w:sz w:val="21"/>
              </w:rPr>
            </w:pPr>
            <w:r>
              <w:rPr>
                <w:spacing w:val="-2"/>
                <w:sz w:val="21"/>
              </w:rPr>
              <w:t>供应商资质及要</w:t>
            </w:r>
            <w:r>
              <w:rPr>
                <w:spacing w:val="-10"/>
                <w:sz w:val="21"/>
              </w:rPr>
              <w:t>求</w:t>
            </w:r>
          </w:p>
        </w:tc>
        <w:tc>
          <w:tcPr>
            <w:tcW w:w="4817" w:type="dxa"/>
          </w:tcPr>
          <w:p w14:paraId="7735DB11">
            <w:pPr>
              <w:pStyle w:val="76"/>
              <w:spacing w:before="1" w:line="364" w:lineRule="auto"/>
              <w:ind w:left="4" w:right="174"/>
              <w:jc w:val="both"/>
              <w:rPr>
                <w:spacing w:val="-2"/>
                <w:sz w:val="21"/>
              </w:rPr>
            </w:pPr>
            <w:r>
              <w:rPr>
                <w:spacing w:val="-2"/>
                <w:sz w:val="21"/>
              </w:rPr>
              <w:t>供应商须具</w:t>
            </w:r>
            <w:r>
              <w:rPr>
                <w:rFonts w:hint="eastAsia"/>
                <w:spacing w:val="-2"/>
                <w:sz w:val="21"/>
              </w:rPr>
              <w:t>有</w:t>
            </w:r>
            <w:r>
              <w:rPr>
                <w:spacing w:val="-2"/>
                <w:sz w:val="21"/>
              </w:rPr>
              <w:t>建设行政主管部门颁发的建筑工程施工总承包三级及以上资质或者建筑装修装饰工程专业承包二级或以上资质，且具有有效的安全生产许可证；</w:t>
            </w:r>
          </w:p>
        </w:tc>
      </w:tr>
      <w:tr w14:paraId="489171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15" w:hRule="atLeast"/>
          <w:jc w:val="center"/>
        </w:trPr>
        <w:tc>
          <w:tcPr>
            <w:tcW w:w="900" w:type="dxa"/>
            <w:vMerge w:val="continue"/>
          </w:tcPr>
          <w:p w14:paraId="5528FF8E">
            <w:pPr>
              <w:rPr>
                <w:sz w:val="2"/>
                <w:szCs w:val="2"/>
              </w:rPr>
            </w:pPr>
          </w:p>
        </w:tc>
        <w:tc>
          <w:tcPr>
            <w:tcW w:w="876" w:type="dxa"/>
            <w:vMerge w:val="continue"/>
          </w:tcPr>
          <w:p w14:paraId="0FC595D0">
            <w:pPr>
              <w:rPr>
                <w:sz w:val="2"/>
                <w:szCs w:val="2"/>
              </w:rPr>
            </w:pPr>
          </w:p>
        </w:tc>
        <w:tc>
          <w:tcPr>
            <w:tcW w:w="2477" w:type="dxa"/>
            <w:vAlign w:val="center"/>
          </w:tcPr>
          <w:p w14:paraId="3449231D">
            <w:pPr>
              <w:pStyle w:val="76"/>
              <w:spacing w:before="205"/>
              <w:ind w:left="12"/>
              <w:jc w:val="center"/>
              <w:rPr>
                <w:spacing w:val="-4"/>
                <w:sz w:val="21"/>
              </w:rPr>
            </w:pPr>
            <w:r>
              <w:rPr>
                <w:spacing w:val="-2"/>
                <w:sz w:val="21"/>
              </w:rPr>
              <w:t>项目经理</w:t>
            </w:r>
          </w:p>
        </w:tc>
        <w:tc>
          <w:tcPr>
            <w:tcW w:w="4817" w:type="dxa"/>
          </w:tcPr>
          <w:p w14:paraId="1D6B5E94">
            <w:pPr>
              <w:pStyle w:val="76"/>
              <w:spacing w:before="1" w:line="360" w:lineRule="auto"/>
              <w:ind w:left="4"/>
              <w:rPr>
                <w:spacing w:val="-3"/>
                <w:sz w:val="21"/>
              </w:rPr>
            </w:pPr>
            <w:r>
              <w:rPr>
                <w:spacing w:val="-2"/>
                <w:sz w:val="21"/>
              </w:rPr>
              <w:t>供应商拟派项目经理须具有建筑工程专业二级（含二级）及以上注册建造师执业资格及有效的安全生产考核合格证，且未担任其他在施建设工程项目的项目经理；</w:t>
            </w:r>
          </w:p>
        </w:tc>
      </w:tr>
      <w:tr w14:paraId="5F2AE8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15" w:hRule="atLeast"/>
          <w:jc w:val="center"/>
        </w:trPr>
        <w:tc>
          <w:tcPr>
            <w:tcW w:w="900" w:type="dxa"/>
            <w:vMerge w:val="continue"/>
          </w:tcPr>
          <w:p w14:paraId="1928ABC8">
            <w:pPr>
              <w:rPr>
                <w:sz w:val="2"/>
                <w:szCs w:val="2"/>
              </w:rPr>
            </w:pPr>
          </w:p>
        </w:tc>
        <w:tc>
          <w:tcPr>
            <w:tcW w:w="876" w:type="dxa"/>
            <w:vMerge w:val="continue"/>
          </w:tcPr>
          <w:p w14:paraId="186F55CF">
            <w:pPr>
              <w:rPr>
                <w:sz w:val="2"/>
                <w:szCs w:val="2"/>
              </w:rPr>
            </w:pPr>
          </w:p>
        </w:tc>
        <w:tc>
          <w:tcPr>
            <w:tcW w:w="2477" w:type="dxa"/>
            <w:vAlign w:val="center"/>
          </w:tcPr>
          <w:p w14:paraId="2A5DE52C">
            <w:pPr>
              <w:pStyle w:val="76"/>
              <w:spacing w:before="205"/>
              <w:ind w:left="12"/>
              <w:jc w:val="center"/>
              <w:rPr>
                <w:sz w:val="21"/>
              </w:rPr>
            </w:pPr>
            <w:r>
              <w:rPr>
                <w:spacing w:val="-4"/>
                <w:sz w:val="21"/>
              </w:rPr>
              <w:t>信誉要求</w:t>
            </w:r>
          </w:p>
        </w:tc>
        <w:tc>
          <w:tcPr>
            <w:tcW w:w="4817" w:type="dxa"/>
          </w:tcPr>
          <w:p w14:paraId="68C6AE28">
            <w:pPr>
              <w:pStyle w:val="76"/>
              <w:spacing w:before="1" w:line="360" w:lineRule="auto"/>
              <w:ind w:left="4"/>
              <w:rPr>
                <w:sz w:val="21"/>
              </w:rPr>
            </w:pPr>
            <w:r>
              <w:rPr>
                <w:spacing w:val="-3"/>
                <w:sz w:val="21"/>
              </w:rPr>
              <w:t>根据《关于在政府采购活动中查询及使用信用记录</w:t>
            </w:r>
          </w:p>
          <w:p w14:paraId="6EF5D5AA">
            <w:pPr>
              <w:pStyle w:val="76"/>
              <w:spacing w:before="1" w:line="360" w:lineRule="auto"/>
              <w:ind w:left="4" w:right="174"/>
              <w:jc w:val="both"/>
              <w:rPr>
                <w:sz w:val="21"/>
              </w:rPr>
            </w:pPr>
            <w:r>
              <w:rPr>
                <w:spacing w:val="-2"/>
                <w:sz w:val="21"/>
              </w:rPr>
              <w:t>有关问题的通知》（财库〔2016〕125号）</w:t>
            </w:r>
            <w:r>
              <w:rPr>
                <w:spacing w:val="-4"/>
                <w:sz w:val="21"/>
              </w:rPr>
              <w:t>和豫财购</w:t>
            </w:r>
            <w:r>
              <w:rPr>
                <w:spacing w:val="-2"/>
                <w:sz w:val="21"/>
              </w:rPr>
              <w:t>〔2016〕15号的规定，对列入失信被执行人名单、重大税收违法失信主体、政府采购严重违法失信行</w:t>
            </w:r>
            <w:r>
              <w:rPr>
                <w:spacing w:val="-3"/>
                <w:sz w:val="21"/>
              </w:rPr>
              <w:t>为记录名单的企业，拒绝参与本项目政府采购活动</w:t>
            </w:r>
          </w:p>
          <w:p w14:paraId="1FFA9265">
            <w:pPr>
              <w:pStyle w:val="76"/>
              <w:spacing w:line="360" w:lineRule="auto"/>
              <w:ind w:left="4" w:right="70"/>
              <w:rPr>
                <w:sz w:val="21"/>
              </w:rPr>
            </w:pPr>
            <w:r>
              <w:rPr>
                <w:spacing w:val="-2"/>
                <w:sz w:val="21"/>
              </w:rPr>
              <w:t>（查询渠道：“中国执行信息公开网”（zxgk.cour t.gov.cn/shixin/）查询：失信被执行人名单；</w:t>
            </w:r>
            <w:r>
              <w:rPr>
                <w:spacing w:val="80"/>
                <w:w w:val="150"/>
                <w:sz w:val="21"/>
              </w:rPr>
              <w:t xml:space="preserve"> </w:t>
            </w:r>
            <w:r>
              <w:rPr>
                <w:spacing w:val="-2"/>
                <w:sz w:val="21"/>
              </w:rPr>
              <w:t>“信用中国”网站（</w:t>
            </w:r>
            <w:r>
              <w:fldChar w:fldCharType="begin"/>
            </w:r>
            <w:r>
              <w:instrText xml:space="preserve"> HYPERLINK "http://www.creditchina.gov.cn/" \h </w:instrText>
            </w:r>
            <w:r>
              <w:fldChar w:fldCharType="separate"/>
            </w:r>
            <w:r>
              <w:rPr>
                <w:spacing w:val="-2"/>
                <w:sz w:val="21"/>
              </w:rPr>
              <w:t>www.creditchina.gov.cn</w:t>
            </w:r>
            <w:r>
              <w:rPr>
                <w:spacing w:val="-2"/>
                <w:sz w:val="21"/>
              </w:rPr>
              <w:fldChar w:fldCharType="end"/>
            </w:r>
            <w:r>
              <w:rPr>
                <w:spacing w:val="-2"/>
                <w:sz w:val="21"/>
              </w:rPr>
              <w:t>）查询：重大税收违法失信主体名单、“中国政府采购网”（</w:t>
            </w:r>
            <w:r>
              <w:fldChar w:fldCharType="begin"/>
            </w:r>
            <w:r>
              <w:instrText xml:space="preserve"> HYPERLINK "http://www.ccgp.gov.cn/" \h </w:instrText>
            </w:r>
            <w:r>
              <w:fldChar w:fldCharType="separate"/>
            </w:r>
            <w:r>
              <w:rPr>
                <w:spacing w:val="-2"/>
                <w:sz w:val="21"/>
              </w:rPr>
              <w:t>www.ccgp.gov.cn</w:t>
            </w:r>
            <w:r>
              <w:rPr>
                <w:spacing w:val="-2"/>
                <w:sz w:val="21"/>
              </w:rPr>
              <w:fldChar w:fldCharType="end"/>
            </w:r>
            <w:r>
              <w:rPr>
                <w:spacing w:val="-2"/>
                <w:sz w:val="21"/>
              </w:rPr>
              <w:t>）查询：政府采购严重违法失信行为记录名单）；注：采购代理机构在开标当天将对所有参与本项目投标的供应商信用情况进行查询、打印留存。若在开标当天查询到供应商有相</w:t>
            </w:r>
            <w:r>
              <w:rPr>
                <w:spacing w:val="-3"/>
                <w:sz w:val="21"/>
              </w:rPr>
              <w:t>关负面信息的，则该供应商为无效响应</w:t>
            </w:r>
          </w:p>
        </w:tc>
      </w:tr>
      <w:tr w14:paraId="17EC74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15" w:hRule="atLeast"/>
          <w:jc w:val="center"/>
        </w:trPr>
        <w:tc>
          <w:tcPr>
            <w:tcW w:w="900" w:type="dxa"/>
            <w:vMerge w:val="continue"/>
          </w:tcPr>
          <w:p w14:paraId="42A760BB">
            <w:pPr>
              <w:rPr>
                <w:sz w:val="2"/>
                <w:szCs w:val="2"/>
              </w:rPr>
            </w:pPr>
          </w:p>
        </w:tc>
        <w:tc>
          <w:tcPr>
            <w:tcW w:w="876" w:type="dxa"/>
            <w:vMerge w:val="continue"/>
          </w:tcPr>
          <w:p w14:paraId="7B076692">
            <w:pPr>
              <w:rPr>
                <w:sz w:val="2"/>
                <w:szCs w:val="2"/>
              </w:rPr>
            </w:pPr>
          </w:p>
        </w:tc>
        <w:tc>
          <w:tcPr>
            <w:tcW w:w="2477" w:type="dxa"/>
            <w:vAlign w:val="center"/>
          </w:tcPr>
          <w:p w14:paraId="521CA627">
            <w:pPr>
              <w:pStyle w:val="76"/>
              <w:spacing w:before="1" w:line="364" w:lineRule="auto"/>
              <w:ind w:left="81" w:right="69"/>
              <w:jc w:val="center"/>
              <w:rPr>
                <w:sz w:val="21"/>
              </w:rPr>
            </w:pPr>
            <w:r>
              <w:rPr>
                <w:spacing w:val="-2"/>
                <w:sz w:val="21"/>
              </w:rPr>
              <w:t>单位负责人为同一人或者存在直接控股、管理关系的不同供应商，不得参加</w:t>
            </w:r>
            <w:r>
              <w:rPr>
                <w:spacing w:val="-3"/>
                <w:sz w:val="21"/>
              </w:rPr>
              <w:t>同一合同项下的政府采购</w:t>
            </w:r>
            <w:r>
              <w:rPr>
                <w:spacing w:val="-5"/>
                <w:sz w:val="21"/>
              </w:rPr>
              <w:t>活动</w:t>
            </w:r>
          </w:p>
        </w:tc>
        <w:tc>
          <w:tcPr>
            <w:tcW w:w="4817" w:type="dxa"/>
          </w:tcPr>
          <w:p w14:paraId="19D7F122">
            <w:pPr>
              <w:pStyle w:val="76"/>
              <w:spacing w:before="22"/>
              <w:rPr>
                <w:b/>
                <w:sz w:val="21"/>
              </w:rPr>
            </w:pPr>
          </w:p>
          <w:p w14:paraId="5D6DE81F">
            <w:pPr>
              <w:pStyle w:val="76"/>
              <w:spacing w:before="1" w:line="364" w:lineRule="auto"/>
              <w:ind w:left="4" w:right="174"/>
              <w:rPr>
                <w:sz w:val="21"/>
              </w:rPr>
            </w:pPr>
            <w:r>
              <w:rPr>
                <w:spacing w:val="-2"/>
                <w:sz w:val="21"/>
              </w:rPr>
              <w:t>提供承诺书或“国家企业信用信息公示系统”网站查询结果网页截图，查询截图需显示公司基本信 息、出资人或股东信息、主要人员信息</w:t>
            </w:r>
          </w:p>
        </w:tc>
      </w:tr>
      <w:tr w14:paraId="4C99DB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15" w:hRule="atLeast"/>
          <w:jc w:val="center"/>
        </w:trPr>
        <w:tc>
          <w:tcPr>
            <w:tcW w:w="900" w:type="dxa"/>
            <w:vMerge w:val="continue"/>
          </w:tcPr>
          <w:p w14:paraId="7DBCD32F">
            <w:pPr>
              <w:rPr>
                <w:sz w:val="2"/>
                <w:szCs w:val="2"/>
              </w:rPr>
            </w:pPr>
          </w:p>
        </w:tc>
        <w:tc>
          <w:tcPr>
            <w:tcW w:w="876" w:type="dxa"/>
            <w:vMerge w:val="continue"/>
          </w:tcPr>
          <w:p w14:paraId="1445BBA3">
            <w:pPr>
              <w:rPr>
                <w:sz w:val="2"/>
                <w:szCs w:val="2"/>
              </w:rPr>
            </w:pPr>
          </w:p>
        </w:tc>
        <w:tc>
          <w:tcPr>
            <w:tcW w:w="2477" w:type="dxa"/>
            <w:vAlign w:val="center"/>
          </w:tcPr>
          <w:p w14:paraId="20BE198E">
            <w:pPr>
              <w:pStyle w:val="76"/>
              <w:spacing w:before="1" w:line="364" w:lineRule="auto"/>
              <w:ind w:left="81" w:right="69"/>
              <w:jc w:val="center"/>
              <w:rPr>
                <w:sz w:val="21"/>
              </w:rPr>
            </w:pPr>
            <w:r>
              <w:rPr>
                <w:spacing w:val="-2"/>
                <w:sz w:val="21"/>
              </w:rPr>
              <w:t>为采购项目提供整体设 计或者项目管理、监理、检测等服务的</w:t>
            </w:r>
            <w:r>
              <w:rPr>
                <w:spacing w:val="-3"/>
                <w:sz w:val="21"/>
              </w:rPr>
              <w:t>供应商，不得再参加该采购项目的其他采购活动</w:t>
            </w:r>
          </w:p>
        </w:tc>
        <w:tc>
          <w:tcPr>
            <w:tcW w:w="4817" w:type="dxa"/>
          </w:tcPr>
          <w:p w14:paraId="5F91CAEB">
            <w:pPr>
              <w:pStyle w:val="76"/>
              <w:rPr>
                <w:b/>
                <w:sz w:val="21"/>
              </w:rPr>
            </w:pPr>
          </w:p>
          <w:p w14:paraId="40998075">
            <w:pPr>
              <w:pStyle w:val="76"/>
              <w:spacing w:before="251"/>
              <w:rPr>
                <w:b/>
                <w:sz w:val="21"/>
              </w:rPr>
            </w:pPr>
          </w:p>
          <w:p w14:paraId="53A149CD">
            <w:pPr>
              <w:pStyle w:val="76"/>
              <w:ind w:left="4"/>
              <w:rPr>
                <w:sz w:val="21"/>
              </w:rPr>
            </w:pPr>
            <w:r>
              <w:rPr>
                <w:spacing w:val="-3"/>
                <w:sz w:val="21"/>
              </w:rPr>
              <w:t>提供承诺书，格式自拟</w:t>
            </w:r>
          </w:p>
        </w:tc>
      </w:tr>
      <w:tr w14:paraId="1E2C7C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15" w:hRule="atLeast"/>
          <w:jc w:val="center"/>
        </w:trPr>
        <w:tc>
          <w:tcPr>
            <w:tcW w:w="900" w:type="dxa"/>
            <w:vMerge w:val="continue"/>
          </w:tcPr>
          <w:p w14:paraId="4A97ADF3">
            <w:pPr>
              <w:rPr>
                <w:sz w:val="2"/>
                <w:szCs w:val="2"/>
              </w:rPr>
            </w:pPr>
          </w:p>
        </w:tc>
        <w:tc>
          <w:tcPr>
            <w:tcW w:w="876" w:type="dxa"/>
            <w:vMerge w:val="continue"/>
          </w:tcPr>
          <w:p w14:paraId="2888A2EB">
            <w:pPr>
              <w:rPr>
                <w:sz w:val="2"/>
                <w:szCs w:val="2"/>
              </w:rPr>
            </w:pPr>
          </w:p>
        </w:tc>
        <w:tc>
          <w:tcPr>
            <w:tcW w:w="2477" w:type="dxa"/>
            <w:tcBorders>
              <w:bottom w:val="single" w:color="auto" w:sz="4" w:space="0"/>
            </w:tcBorders>
            <w:vAlign w:val="center"/>
          </w:tcPr>
          <w:p w14:paraId="3417077D">
            <w:pPr>
              <w:pStyle w:val="76"/>
              <w:spacing w:before="1" w:line="364" w:lineRule="auto"/>
              <w:ind w:left="81" w:right="69"/>
              <w:jc w:val="center"/>
              <w:rPr>
                <w:sz w:val="21"/>
              </w:rPr>
            </w:pPr>
            <w:r>
              <w:rPr>
                <w:spacing w:val="-2"/>
                <w:sz w:val="21"/>
              </w:rPr>
              <w:t>根据《河南省住房和城乡建设厅关于进一步规范建设工程企业资质管理的通知》豫建行规〔2024〕7号文件规定，被全国和河南省建筑市场监管公共服务平台标注为资质异常 的，供应商不能使用标注</w:t>
            </w:r>
            <w:r>
              <w:rPr>
                <w:spacing w:val="-3"/>
                <w:sz w:val="21"/>
              </w:rPr>
              <w:t>异常的资质承揽本工程，具体要求详见通知内容</w:t>
            </w:r>
          </w:p>
        </w:tc>
        <w:tc>
          <w:tcPr>
            <w:tcW w:w="4817" w:type="dxa"/>
            <w:tcBorders>
              <w:bottom w:val="single" w:color="auto" w:sz="4" w:space="0"/>
            </w:tcBorders>
          </w:tcPr>
          <w:p w14:paraId="7E6F3E8E">
            <w:pPr>
              <w:pStyle w:val="76"/>
              <w:rPr>
                <w:b/>
                <w:sz w:val="21"/>
              </w:rPr>
            </w:pPr>
          </w:p>
          <w:p w14:paraId="4450B5EB">
            <w:pPr>
              <w:pStyle w:val="76"/>
              <w:rPr>
                <w:b/>
                <w:sz w:val="21"/>
              </w:rPr>
            </w:pPr>
          </w:p>
          <w:p w14:paraId="0C3127B1">
            <w:pPr>
              <w:pStyle w:val="76"/>
              <w:rPr>
                <w:b/>
                <w:sz w:val="21"/>
              </w:rPr>
            </w:pPr>
          </w:p>
          <w:p w14:paraId="02A01EBE">
            <w:pPr>
              <w:pStyle w:val="76"/>
              <w:spacing w:before="91"/>
              <w:rPr>
                <w:b/>
                <w:sz w:val="21"/>
              </w:rPr>
            </w:pPr>
          </w:p>
          <w:p w14:paraId="69B07C1B">
            <w:pPr>
              <w:pStyle w:val="76"/>
              <w:spacing w:line="364" w:lineRule="auto"/>
              <w:ind w:left="4" w:right="174"/>
              <w:rPr>
                <w:sz w:val="21"/>
              </w:rPr>
            </w:pPr>
            <w:r>
              <w:rPr>
                <w:spacing w:val="-2"/>
                <w:sz w:val="21"/>
              </w:rPr>
              <w:t>提供全国建筑市场监管公共服务平台（四库一平 台）和河南省建筑市场监管公共服务平台查询截图</w:t>
            </w:r>
          </w:p>
        </w:tc>
      </w:tr>
      <w:tr w14:paraId="0EDC5B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15" w:hRule="atLeast"/>
          <w:jc w:val="center"/>
        </w:trPr>
        <w:tc>
          <w:tcPr>
            <w:tcW w:w="900" w:type="dxa"/>
            <w:vMerge w:val="continue"/>
            <w:tcBorders>
              <w:bottom w:val="single" w:color="auto" w:sz="4" w:space="0"/>
            </w:tcBorders>
          </w:tcPr>
          <w:p w14:paraId="4CB65C29">
            <w:pPr>
              <w:rPr>
                <w:sz w:val="2"/>
                <w:szCs w:val="2"/>
              </w:rPr>
            </w:pPr>
          </w:p>
        </w:tc>
        <w:tc>
          <w:tcPr>
            <w:tcW w:w="876" w:type="dxa"/>
            <w:vMerge w:val="continue"/>
            <w:tcBorders>
              <w:bottom w:val="single" w:color="auto" w:sz="4" w:space="0"/>
            </w:tcBorders>
          </w:tcPr>
          <w:p w14:paraId="49EA1315">
            <w:pPr>
              <w:rPr>
                <w:sz w:val="2"/>
                <w:szCs w:val="2"/>
              </w:rPr>
            </w:pPr>
          </w:p>
        </w:tc>
        <w:tc>
          <w:tcPr>
            <w:tcW w:w="2477" w:type="dxa"/>
            <w:tcBorders>
              <w:top w:val="single" w:color="auto" w:sz="4" w:space="0"/>
              <w:bottom w:val="single" w:color="auto" w:sz="4" w:space="0"/>
              <w:right w:val="single" w:color="auto" w:sz="4" w:space="0"/>
            </w:tcBorders>
            <w:vAlign w:val="center"/>
          </w:tcPr>
          <w:p w14:paraId="3DA8FD13">
            <w:pPr>
              <w:pStyle w:val="76"/>
              <w:ind w:left="22"/>
              <w:jc w:val="center"/>
              <w:rPr>
                <w:sz w:val="21"/>
              </w:rPr>
            </w:pPr>
            <w:r>
              <w:rPr>
                <w:spacing w:val="-4"/>
                <w:sz w:val="21"/>
              </w:rPr>
              <w:t>中小企业证明材料</w:t>
            </w:r>
          </w:p>
        </w:tc>
        <w:tc>
          <w:tcPr>
            <w:tcW w:w="4817" w:type="dxa"/>
            <w:tcBorders>
              <w:top w:val="single" w:color="auto" w:sz="4" w:space="0"/>
              <w:left w:val="single" w:color="auto" w:sz="4" w:space="0"/>
              <w:bottom w:val="single" w:color="auto" w:sz="4" w:space="0"/>
              <w:right w:val="single" w:color="auto" w:sz="4" w:space="0"/>
            </w:tcBorders>
          </w:tcPr>
          <w:p w14:paraId="777D6A11">
            <w:pPr>
              <w:pStyle w:val="76"/>
              <w:spacing w:before="1" w:line="364" w:lineRule="auto"/>
              <w:ind w:left="112" w:right="277"/>
              <w:jc w:val="both"/>
              <w:rPr>
                <w:sz w:val="21"/>
              </w:rPr>
            </w:pPr>
            <w:r>
              <w:rPr>
                <w:spacing w:val="-2"/>
                <w:sz w:val="21"/>
              </w:rPr>
              <w:t>供应商应为中小企业，残疾人福利性单位、监狱企业视同小型、微型企业。中小企业参加本项目投标时，须提供中小企业声明函；残疾人福利性单位参加本项目投标时，须提供《残疾人福利性单位声明函》；监狱企业参加本项目投标时，须提供由省级以上监狱管理局、戒毒管理局（含新疆生产建设兵团）</w:t>
            </w:r>
            <w:r>
              <w:rPr>
                <w:spacing w:val="-3"/>
                <w:sz w:val="21"/>
              </w:rPr>
              <w:t>出具的属于监狱企业的证明文</w:t>
            </w:r>
            <w:r>
              <w:rPr>
                <w:spacing w:val="-10"/>
                <w:sz w:val="21"/>
              </w:rPr>
              <w:t>件</w:t>
            </w:r>
          </w:p>
        </w:tc>
      </w:tr>
      <w:tr w14:paraId="66DAAC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15" w:hRule="atLeast"/>
          <w:jc w:val="center"/>
        </w:trPr>
        <w:tc>
          <w:tcPr>
            <w:tcW w:w="900" w:type="dxa"/>
            <w:vMerge w:val="restart"/>
            <w:tcBorders>
              <w:top w:val="single" w:color="auto" w:sz="4" w:space="0"/>
              <w:left w:val="single" w:color="auto" w:sz="4" w:space="0"/>
              <w:right w:val="single" w:color="auto" w:sz="4" w:space="0"/>
            </w:tcBorders>
          </w:tcPr>
          <w:p w14:paraId="22D1E0F1">
            <w:pPr>
              <w:rPr>
                <w:sz w:val="2"/>
                <w:szCs w:val="2"/>
              </w:rPr>
            </w:pPr>
            <w:r>
              <w:rPr>
                <w:rFonts w:hint="eastAsia"/>
                <w:sz w:val="2"/>
                <w:szCs w:val="2"/>
              </w:rPr>
              <w:t>2</w:t>
            </w:r>
            <w:r>
              <w:rPr>
                <w:sz w:val="2"/>
                <w:szCs w:val="2"/>
              </w:rPr>
              <w:t>.1.3</w:t>
            </w:r>
          </w:p>
          <w:p w14:paraId="45B27C2A">
            <w:pPr>
              <w:rPr>
                <w:sz w:val="2"/>
                <w:szCs w:val="2"/>
              </w:rPr>
            </w:pPr>
          </w:p>
          <w:p w14:paraId="1F758B7D">
            <w:pPr>
              <w:rPr>
                <w:sz w:val="2"/>
                <w:szCs w:val="2"/>
              </w:rPr>
            </w:pPr>
          </w:p>
          <w:p w14:paraId="767B2F26">
            <w:pPr>
              <w:rPr>
                <w:sz w:val="2"/>
                <w:szCs w:val="2"/>
              </w:rPr>
            </w:pPr>
          </w:p>
          <w:p w14:paraId="07DF3E2B">
            <w:pPr>
              <w:rPr>
                <w:sz w:val="2"/>
                <w:szCs w:val="2"/>
              </w:rPr>
            </w:pPr>
          </w:p>
          <w:p w14:paraId="4AB03BDA">
            <w:pPr>
              <w:rPr>
                <w:sz w:val="2"/>
                <w:szCs w:val="2"/>
              </w:rPr>
            </w:pPr>
          </w:p>
          <w:p w14:paraId="1C3E15D2">
            <w:pPr>
              <w:rPr>
                <w:sz w:val="2"/>
                <w:szCs w:val="2"/>
              </w:rPr>
            </w:pPr>
          </w:p>
          <w:p w14:paraId="606095D7">
            <w:pPr>
              <w:rPr>
                <w:sz w:val="2"/>
                <w:szCs w:val="2"/>
              </w:rPr>
            </w:pPr>
          </w:p>
          <w:p w14:paraId="41BF5328">
            <w:pPr>
              <w:rPr>
                <w:sz w:val="2"/>
                <w:szCs w:val="2"/>
              </w:rPr>
            </w:pPr>
          </w:p>
          <w:p w14:paraId="3B6ABC31">
            <w:pPr>
              <w:rPr>
                <w:sz w:val="2"/>
                <w:szCs w:val="2"/>
              </w:rPr>
            </w:pPr>
          </w:p>
          <w:p w14:paraId="591A8E13">
            <w:pPr>
              <w:rPr>
                <w:sz w:val="2"/>
                <w:szCs w:val="2"/>
              </w:rPr>
            </w:pPr>
          </w:p>
          <w:p w14:paraId="5F4E073E">
            <w:pPr>
              <w:rPr>
                <w:sz w:val="2"/>
                <w:szCs w:val="2"/>
              </w:rPr>
            </w:pPr>
          </w:p>
          <w:p w14:paraId="37C3F9C3">
            <w:pPr>
              <w:rPr>
                <w:sz w:val="2"/>
                <w:szCs w:val="2"/>
              </w:rPr>
            </w:pPr>
          </w:p>
          <w:p w14:paraId="6FF692B4">
            <w:pPr>
              <w:rPr>
                <w:sz w:val="2"/>
                <w:szCs w:val="2"/>
              </w:rPr>
            </w:pPr>
          </w:p>
          <w:p w14:paraId="4C54E142">
            <w:pPr>
              <w:rPr>
                <w:sz w:val="2"/>
                <w:szCs w:val="2"/>
              </w:rPr>
            </w:pPr>
          </w:p>
          <w:p w14:paraId="60A241B3">
            <w:pPr>
              <w:rPr>
                <w:sz w:val="2"/>
                <w:szCs w:val="2"/>
              </w:rPr>
            </w:pPr>
          </w:p>
          <w:p w14:paraId="17F703C8">
            <w:pPr>
              <w:rPr>
                <w:sz w:val="2"/>
                <w:szCs w:val="2"/>
              </w:rPr>
            </w:pPr>
          </w:p>
          <w:p w14:paraId="15242A58">
            <w:pPr>
              <w:rPr>
                <w:sz w:val="2"/>
                <w:szCs w:val="2"/>
              </w:rPr>
            </w:pPr>
          </w:p>
          <w:p w14:paraId="520102CC">
            <w:pPr>
              <w:rPr>
                <w:sz w:val="2"/>
                <w:szCs w:val="2"/>
              </w:rPr>
            </w:pPr>
          </w:p>
          <w:p w14:paraId="0AF5B501">
            <w:pPr>
              <w:rPr>
                <w:sz w:val="2"/>
                <w:szCs w:val="2"/>
              </w:rPr>
            </w:pPr>
          </w:p>
          <w:p w14:paraId="74244C19">
            <w:pPr>
              <w:rPr>
                <w:sz w:val="2"/>
                <w:szCs w:val="2"/>
              </w:rPr>
            </w:pPr>
          </w:p>
          <w:p w14:paraId="7B87F88D">
            <w:pPr>
              <w:rPr>
                <w:sz w:val="2"/>
                <w:szCs w:val="2"/>
              </w:rPr>
            </w:pPr>
          </w:p>
          <w:p w14:paraId="128A32A0">
            <w:pPr>
              <w:rPr>
                <w:sz w:val="2"/>
                <w:szCs w:val="2"/>
              </w:rPr>
            </w:pPr>
          </w:p>
          <w:p w14:paraId="7E90B011">
            <w:pPr>
              <w:rPr>
                <w:sz w:val="2"/>
                <w:szCs w:val="2"/>
              </w:rPr>
            </w:pPr>
          </w:p>
          <w:p w14:paraId="4A8B8A0D">
            <w:pPr>
              <w:rPr>
                <w:sz w:val="2"/>
                <w:szCs w:val="2"/>
              </w:rPr>
            </w:pPr>
          </w:p>
          <w:p w14:paraId="4FF2C0DF">
            <w:pPr>
              <w:rPr>
                <w:sz w:val="2"/>
                <w:szCs w:val="2"/>
              </w:rPr>
            </w:pPr>
          </w:p>
          <w:p w14:paraId="10A6F682">
            <w:pPr>
              <w:rPr>
                <w:sz w:val="2"/>
                <w:szCs w:val="2"/>
              </w:rPr>
            </w:pPr>
          </w:p>
          <w:p w14:paraId="593654C4">
            <w:pPr>
              <w:rPr>
                <w:sz w:val="2"/>
                <w:szCs w:val="2"/>
              </w:rPr>
            </w:pPr>
          </w:p>
          <w:p w14:paraId="32ED1375">
            <w:pPr>
              <w:rPr>
                <w:sz w:val="2"/>
                <w:szCs w:val="2"/>
              </w:rPr>
            </w:pPr>
          </w:p>
          <w:p w14:paraId="36135145">
            <w:pPr>
              <w:rPr>
                <w:sz w:val="2"/>
                <w:szCs w:val="2"/>
              </w:rPr>
            </w:pPr>
          </w:p>
          <w:p w14:paraId="0F13D222">
            <w:pPr>
              <w:rPr>
                <w:sz w:val="2"/>
                <w:szCs w:val="2"/>
              </w:rPr>
            </w:pPr>
          </w:p>
          <w:p w14:paraId="5BF43B30">
            <w:pPr>
              <w:rPr>
                <w:sz w:val="2"/>
                <w:szCs w:val="2"/>
              </w:rPr>
            </w:pPr>
          </w:p>
          <w:p w14:paraId="175C0D82">
            <w:pPr>
              <w:rPr>
                <w:sz w:val="2"/>
                <w:szCs w:val="2"/>
              </w:rPr>
            </w:pPr>
          </w:p>
          <w:p w14:paraId="2CCC4F47">
            <w:pPr>
              <w:rPr>
                <w:sz w:val="2"/>
                <w:szCs w:val="2"/>
              </w:rPr>
            </w:pPr>
          </w:p>
          <w:p w14:paraId="2F059B73">
            <w:pPr>
              <w:rPr>
                <w:sz w:val="2"/>
                <w:szCs w:val="2"/>
              </w:rPr>
            </w:pPr>
          </w:p>
          <w:p w14:paraId="735BA52D">
            <w:pPr>
              <w:rPr>
                <w:sz w:val="2"/>
                <w:szCs w:val="2"/>
              </w:rPr>
            </w:pPr>
          </w:p>
          <w:p w14:paraId="23847C28">
            <w:pPr>
              <w:rPr>
                <w:sz w:val="2"/>
                <w:szCs w:val="2"/>
              </w:rPr>
            </w:pPr>
          </w:p>
          <w:p w14:paraId="7642C81F">
            <w:pPr>
              <w:rPr>
                <w:sz w:val="2"/>
                <w:szCs w:val="2"/>
              </w:rPr>
            </w:pPr>
          </w:p>
          <w:p w14:paraId="49F197B9">
            <w:pPr>
              <w:rPr>
                <w:sz w:val="2"/>
                <w:szCs w:val="2"/>
              </w:rPr>
            </w:pPr>
          </w:p>
          <w:p w14:paraId="22248CD1">
            <w:pPr>
              <w:rPr>
                <w:sz w:val="2"/>
                <w:szCs w:val="2"/>
              </w:rPr>
            </w:pPr>
          </w:p>
          <w:p w14:paraId="357F9427">
            <w:pPr>
              <w:rPr>
                <w:sz w:val="2"/>
                <w:szCs w:val="2"/>
              </w:rPr>
            </w:pPr>
          </w:p>
          <w:p w14:paraId="04CBD8A4">
            <w:pPr>
              <w:rPr>
                <w:sz w:val="2"/>
                <w:szCs w:val="2"/>
              </w:rPr>
            </w:pPr>
          </w:p>
          <w:p w14:paraId="4BF14C9F">
            <w:pPr>
              <w:rPr>
                <w:sz w:val="2"/>
                <w:szCs w:val="2"/>
              </w:rPr>
            </w:pPr>
          </w:p>
          <w:p w14:paraId="53604335">
            <w:pPr>
              <w:rPr>
                <w:sz w:val="2"/>
                <w:szCs w:val="2"/>
              </w:rPr>
            </w:pPr>
          </w:p>
          <w:p w14:paraId="66E4ED62">
            <w:pPr>
              <w:rPr>
                <w:sz w:val="2"/>
                <w:szCs w:val="2"/>
              </w:rPr>
            </w:pPr>
          </w:p>
          <w:p w14:paraId="51120692">
            <w:pPr>
              <w:rPr>
                <w:sz w:val="2"/>
                <w:szCs w:val="2"/>
              </w:rPr>
            </w:pPr>
          </w:p>
          <w:p w14:paraId="2CF7E6FF">
            <w:pPr>
              <w:rPr>
                <w:sz w:val="2"/>
                <w:szCs w:val="2"/>
              </w:rPr>
            </w:pPr>
          </w:p>
          <w:p w14:paraId="1198FC53">
            <w:pPr>
              <w:rPr>
                <w:sz w:val="2"/>
                <w:szCs w:val="2"/>
              </w:rPr>
            </w:pPr>
          </w:p>
          <w:p w14:paraId="76BF5F5E">
            <w:pPr>
              <w:rPr>
                <w:sz w:val="2"/>
                <w:szCs w:val="2"/>
              </w:rPr>
            </w:pPr>
          </w:p>
          <w:p w14:paraId="10847A7E">
            <w:pPr>
              <w:rPr>
                <w:sz w:val="2"/>
                <w:szCs w:val="2"/>
              </w:rPr>
            </w:pPr>
          </w:p>
          <w:p w14:paraId="50145B76">
            <w:pPr>
              <w:rPr>
                <w:sz w:val="2"/>
                <w:szCs w:val="2"/>
              </w:rPr>
            </w:pPr>
          </w:p>
          <w:p w14:paraId="19D05E0C">
            <w:pPr>
              <w:rPr>
                <w:sz w:val="2"/>
                <w:szCs w:val="2"/>
              </w:rPr>
            </w:pPr>
          </w:p>
          <w:p w14:paraId="4A3C3159">
            <w:pPr>
              <w:rPr>
                <w:sz w:val="2"/>
                <w:szCs w:val="2"/>
              </w:rPr>
            </w:pPr>
          </w:p>
          <w:p w14:paraId="54032612">
            <w:pPr>
              <w:rPr>
                <w:sz w:val="2"/>
                <w:szCs w:val="2"/>
              </w:rPr>
            </w:pPr>
          </w:p>
          <w:p w14:paraId="18C03A4A">
            <w:pPr>
              <w:rPr>
                <w:sz w:val="2"/>
                <w:szCs w:val="2"/>
              </w:rPr>
            </w:pPr>
          </w:p>
          <w:p w14:paraId="4C4CC929">
            <w:pPr>
              <w:rPr>
                <w:sz w:val="2"/>
                <w:szCs w:val="2"/>
              </w:rPr>
            </w:pPr>
          </w:p>
          <w:p w14:paraId="5E93F357">
            <w:pPr>
              <w:rPr>
                <w:sz w:val="2"/>
                <w:szCs w:val="2"/>
              </w:rPr>
            </w:pPr>
          </w:p>
          <w:p w14:paraId="388A7FF5">
            <w:pPr>
              <w:rPr>
                <w:sz w:val="2"/>
                <w:szCs w:val="2"/>
              </w:rPr>
            </w:pPr>
          </w:p>
          <w:p w14:paraId="108A0649">
            <w:pPr>
              <w:rPr>
                <w:sz w:val="2"/>
                <w:szCs w:val="2"/>
              </w:rPr>
            </w:pPr>
          </w:p>
          <w:p w14:paraId="1290B860">
            <w:pPr>
              <w:rPr>
                <w:sz w:val="2"/>
                <w:szCs w:val="2"/>
              </w:rPr>
            </w:pPr>
          </w:p>
          <w:p w14:paraId="72A75ED8">
            <w:pPr>
              <w:rPr>
                <w:sz w:val="2"/>
                <w:szCs w:val="2"/>
              </w:rPr>
            </w:pPr>
          </w:p>
          <w:p w14:paraId="32E69696">
            <w:pPr>
              <w:rPr>
                <w:sz w:val="2"/>
                <w:szCs w:val="2"/>
              </w:rPr>
            </w:pPr>
          </w:p>
          <w:p w14:paraId="1207B051">
            <w:pPr>
              <w:rPr>
                <w:sz w:val="2"/>
                <w:szCs w:val="2"/>
              </w:rPr>
            </w:pPr>
          </w:p>
          <w:p w14:paraId="2C94F778">
            <w:pPr>
              <w:rPr>
                <w:sz w:val="2"/>
                <w:szCs w:val="2"/>
              </w:rPr>
            </w:pPr>
          </w:p>
          <w:p w14:paraId="58A4A1BB">
            <w:pPr>
              <w:rPr>
                <w:sz w:val="2"/>
                <w:szCs w:val="2"/>
              </w:rPr>
            </w:pPr>
          </w:p>
          <w:p w14:paraId="79B56D6E">
            <w:pPr>
              <w:rPr>
                <w:sz w:val="2"/>
                <w:szCs w:val="2"/>
              </w:rPr>
            </w:pPr>
          </w:p>
          <w:p w14:paraId="7E301DF2">
            <w:pPr>
              <w:rPr>
                <w:sz w:val="2"/>
                <w:szCs w:val="2"/>
              </w:rPr>
            </w:pPr>
          </w:p>
          <w:p w14:paraId="38C9AB16">
            <w:pPr>
              <w:rPr>
                <w:sz w:val="2"/>
                <w:szCs w:val="2"/>
              </w:rPr>
            </w:pPr>
          </w:p>
          <w:p w14:paraId="1377AA2E">
            <w:pPr>
              <w:rPr>
                <w:sz w:val="2"/>
                <w:szCs w:val="2"/>
              </w:rPr>
            </w:pPr>
          </w:p>
          <w:p w14:paraId="1EAA01C2">
            <w:pPr>
              <w:rPr>
                <w:sz w:val="2"/>
                <w:szCs w:val="2"/>
              </w:rPr>
            </w:pPr>
          </w:p>
          <w:p w14:paraId="599FEE45">
            <w:pPr>
              <w:rPr>
                <w:sz w:val="2"/>
                <w:szCs w:val="2"/>
              </w:rPr>
            </w:pPr>
          </w:p>
          <w:p w14:paraId="327F21F4">
            <w:pPr>
              <w:rPr>
                <w:sz w:val="2"/>
                <w:szCs w:val="2"/>
              </w:rPr>
            </w:pPr>
          </w:p>
          <w:p w14:paraId="2E03750C">
            <w:pPr>
              <w:rPr>
                <w:sz w:val="2"/>
                <w:szCs w:val="2"/>
              </w:rPr>
            </w:pPr>
          </w:p>
          <w:p w14:paraId="64995375">
            <w:pPr>
              <w:rPr>
                <w:sz w:val="2"/>
                <w:szCs w:val="2"/>
              </w:rPr>
            </w:pPr>
          </w:p>
          <w:p w14:paraId="036107E3">
            <w:pPr>
              <w:rPr>
                <w:sz w:val="2"/>
                <w:szCs w:val="2"/>
              </w:rPr>
            </w:pPr>
          </w:p>
          <w:p w14:paraId="0992D134">
            <w:pPr>
              <w:rPr>
                <w:sz w:val="2"/>
                <w:szCs w:val="2"/>
              </w:rPr>
            </w:pPr>
          </w:p>
          <w:p w14:paraId="45CA7605">
            <w:pPr>
              <w:rPr>
                <w:sz w:val="2"/>
                <w:szCs w:val="2"/>
              </w:rPr>
            </w:pPr>
          </w:p>
          <w:p w14:paraId="11F02D55">
            <w:pPr>
              <w:rPr>
                <w:sz w:val="2"/>
                <w:szCs w:val="2"/>
              </w:rPr>
            </w:pPr>
          </w:p>
          <w:p w14:paraId="35282C26">
            <w:pPr>
              <w:rPr>
                <w:sz w:val="2"/>
                <w:szCs w:val="2"/>
              </w:rPr>
            </w:pPr>
          </w:p>
          <w:p w14:paraId="1DE57542">
            <w:pPr>
              <w:rPr>
                <w:sz w:val="2"/>
                <w:szCs w:val="2"/>
              </w:rPr>
            </w:pPr>
          </w:p>
          <w:p w14:paraId="6C85666D">
            <w:pPr>
              <w:rPr>
                <w:sz w:val="2"/>
                <w:szCs w:val="2"/>
              </w:rPr>
            </w:pPr>
          </w:p>
          <w:p w14:paraId="5FCA1E53">
            <w:pPr>
              <w:rPr>
                <w:sz w:val="2"/>
                <w:szCs w:val="2"/>
              </w:rPr>
            </w:pPr>
          </w:p>
          <w:p w14:paraId="424E1B1E">
            <w:pPr>
              <w:rPr>
                <w:sz w:val="2"/>
                <w:szCs w:val="2"/>
              </w:rPr>
            </w:pPr>
          </w:p>
          <w:p w14:paraId="66658F4E">
            <w:pPr>
              <w:rPr>
                <w:sz w:val="2"/>
                <w:szCs w:val="2"/>
              </w:rPr>
            </w:pPr>
          </w:p>
          <w:p w14:paraId="0D6845B1">
            <w:pPr>
              <w:rPr>
                <w:sz w:val="2"/>
                <w:szCs w:val="2"/>
              </w:rPr>
            </w:pPr>
          </w:p>
          <w:p w14:paraId="16166448">
            <w:pPr>
              <w:rPr>
                <w:sz w:val="2"/>
                <w:szCs w:val="2"/>
              </w:rPr>
            </w:pPr>
          </w:p>
          <w:p w14:paraId="3DD92BBE">
            <w:pPr>
              <w:rPr>
                <w:sz w:val="2"/>
                <w:szCs w:val="2"/>
              </w:rPr>
            </w:pPr>
          </w:p>
          <w:p w14:paraId="35E03C5B">
            <w:pPr>
              <w:rPr>
                <w:sz w:val="2"/>
                <w:szCs w:val="2"/>
              </w:rPr>
            </w:pPr>
          </w:p>
          <w:p w14:paraId="17CF277B">
            <w:pPr>
              <w:rPr>
                <w:sz w:val="2"/>
                <w:szCs w:val="2"/>
              </w:rPr>
            </w:pPr>
          </w:p>
          <w:p w14:paraId="6700FD03">
            <w:pPr>
              <w:rPr>
                <w:sz w:val="2"/>
                <w:szCs w:val="2"/>
              </w:rPr>
            </w:pPr>
          </w:p>
          <w:p w14:paraId="028FE664">
            <w:pPr>
              <w:rPr>
                <w:sz w:val="2"/>
                <w:szCs w:val="2"/>
              </w:rPr>
            </w:pPr>
          </w:p>
          <w:p w14:paraId="792DE682">
            <w:pPr>
              <w:rPr>
                <w:sz w:val="2"/>
                <w:szCs w:val="2"/>
              </w:rPr>
            </w:pPr>
          </w:p>
          <w:p w14:paraId="6B26C737">
            <w:pPr>
              <w:rPr>
                <w:sz w:val="2"/>
                <w:szCs w:val="2"/>
              </w:rPr>
            </w:pPr>
          </w:p>
          <w:p w14:paraId="316EF240">
            <w:pPr>
              <w:rPr>
                <w:sz w:val="2"/>
                <w:szCs w:val="2"/>
              </w:rPr>
            </w:pPr>
          </w:p>
          <w:p w14:paraId="31E5D436">
            <w:pPr>
              <w:rPr>
                <w:sz w:val="2"/>
                <w:szCs w:val="2"/>
              </w:rPr>
            </w:pPr>
          </w:p>
          <w:p w14:paraId="558B96FC">
            <w:pPr>
              <w:rPr>
                <w:sz w:val="2"/>
                <w:szCs w:val="2"/>
              </w:rPr>
            </w:pPr>
          </w:p>
          <w:p w14:paraId="7F0E2303">
            <w:pPr>
              <w:rPr>
                <w:sz w:val="2"/>
                <w:szCs w:val="2"/>
              </w:rPr>
            </w:pPr>
          </w:p>
          <w:p w14:paraId="71938E54">
            <w:pPr>
              <w:rPr>
                <w:sz w:val="2"/>
                <w:szCs w:val="2"/>
              </w:rPr>
            </w:pPr>
          </w:p>
          <w:p w14:paraId="063B516F">
            <w:pPr>
              <w:rPr>
                <w:sz w:val="2"/>
                <w:szCs w:val="2"/>
              </w:rPr>
            </w:pPr>
          </w:p>
          <w:p w14:paraId="61CB68BE">
            <w:pPr>
              <w:rPr>
                <w:sz w:val="2"/>
                <w:szCs w:val="2"/>
              </w:rPr>
            </w:pPr>
          </w:p>
          <w:p w14:paraId="363ADF69">
            <w:pPr>
              <w:rPr>
                <w:sz w:val="2"/>
                <w:szCs w:val="2"/>
              </w:rPr>
            </w:pPr>
          </w:p>
          <w:p w14:paraId="1A5F1263">
            <w:pPr>
              <w:rPr>
                <w:sz w:val="2"/>
                <w:szCs w:val="2"/>
              </w:rPr>
            </w:pPr>
          </w:p>
          <w:p w14:paraId="160A015F">
            <w:pPr>
              <w:rPr>
                <w:sz w:val="2"/>
                <w:szCs w:val="2"/>
              </w:rPr>
            </w:pPr>
          </w:p>
          <w:p w14:paraId="1FDFEAD8">
            <w:pPr>
              <w:rPr>
                <w:sz w:val="2"/>
                <w:szCs w:val="2"/>
              </w:rPr>
            </w:pPr>
          </w:p>
          <w:p w14:paraId="539DCDDD">
            <w:pPr>
              <w:rPr>
                <w:sz w:val="2"/>
                <w:szCs w:val="2"/>
              </w:rPr>
            </w:pPr>
          </w:p>
          <w:p w14:paraId="383B68C2">
            <w:pPr>
              <w:rPr>
                <w:sz w:val="2"/>
                <w:szCs w:val="2"/>
              </w:rPr>
            </w:pPr>
          </w:p>
          <w:p w14:paraId="1532630B">
            <w:pPr>
              <w:rPr>
                <w:sz w:val="2"/>
                <w:szCs w:val="2"/>
              </w:rPr>
            </w:pPr>
          </w:p>
          <w:p w14:paraId="7ED76CF4">
            <w:pPr>
              <w:rPr>
                <w:sz w:val="2"/>
                <w:szCs w:val="2"/>
              </w:rPr>
            </w:pPr>
          </w:p>
          <w:p w14:paraId="5D51E130">
            <w:pPr>
              <w:rPr>
                <w:sz w:val="2"/>
                <w:szCs w:val="2"/>
              </w:rPr>
            </w:pPr>
          </w:p>
          <w:p w14:paraId="2BB94DD8">
            <w:pPr>
              <w:rPr>
                <w:sz w:val="2"/>
                <w:szCs w:val="2"/>
              </w:rPr>
            </w:pPr>
          </w:p>
          <w:p w14:paraId="4D38BDE3">
            <w:pPr>
              <w:rPr>
                <w:sz w:val="2"/>
                <w:szCs w:val="2"/>
              </w:rPr>
            </w:pPr>
          </w:p>
          <w:p w14:paraId="6438123B">
            <w:pPr>
              <w:rPr>
                <w:sz w:val="2"/>
                <w:szCs w:val="2"/>
              </w:rPr>
            </w:pPr>
          </w:p>
          <w:p w14:paraId="3E5D091A">
            <w:pPr>
              <w:rPr>
                <w:sz w:val="2"/>
                <w:szCs w:val="2"/>
              </w:rPr>
            </w:pPr>
          </w:p>
          <w:p w14:paraId="39203B03">
            <w:pPr>
              <w:rPr>
                <w:sz w:val="2"/>
                <w:szCs w:val="2"/>
              </w:rPr>
            </w:pPr>
          </w:p>
          <w:p w14:paraId="2CA66CCE">
            <w:pPr>
              <w:rPr>
                <w:sz w:val="2"/>
                <w:szCs w:val="2"/>
              </w:rPr>
            </w:pPr>
          </w:p>
          <w:p w14:paraId="411F7C09">
            <w:pPr>
              <w:rPr>
                <w:sz w:val="2"/>
                <w:szCs w:val="2"/>
              </w:rPr>
            </w:pPr>
          </w:p>
          <w:p w14:paraId="549E6AF5">
            <w:pPr>
              <w:rPr>
                <w:sz w:val="2"/>
                <w:szCs w:val="2"/>
              </w:rPr>
            </w:pPr>
          </w:p>
          <w:p w14:paraId="63661B74">
            <w:pPr>
              <w:rPr>
                <w:sz w:val="2"/>
                <w:szCs w:val="2"/>
              </w:rPr>
            </w:pPr>
          </w:p>
          <w:p w14:paraId="568716C5">
            <w:pPr>
              <w:pStyle w:val="76"/>
              <w:spacing w:before="73"/>
              <w:rPr>
                <w:b/>
                <w:sz w:val="21"/>
              </w:rPr>
            </w:pPr>
          </w:p>
          <w:p w14:paraId="398B9720">
            <w:pPr>
              <w:rPr>
                <w:sz w:val="2"/>
                <w:szCs w:val="2"/>
              </w:rPr>
            </w:pPr>
            <w:r>
              <w:rPr>
                <w:spacing w:val="-2"/>
                <w:sz w:val="21"/>
              </w:rPr>
              <w:t>2.1.3</w:t>
            </w:r>
          </w:p>
          <w:p w14:paraId="4FCF37F9">
            <w:pPr>
              <w:rPr>
                <w:sz w:val="2"/>
                <w:szCs w:val="2"/>
              </w:rPr>
            </w:pPr>
          </w:p>
          <w:p w14:paraId="780F1DB9">
            <w:pPr>
              <w:rPr>
                <w:sz w:val="2"/>
                <w:szCs w:val="2"/>
              </w:rPr>
            </w:pPr>
          </w:p>
          <w:p w14:paraId="306ACBD7">
            <w:pPr>
              <w:rPr>
                <w:sz w:val="2"/>
                <w:szCs w:val="2"/>
              </w:rPr>
            </w:pPr>
          </w:p>
          <w:p w14:paraId="08536A9D">
            <w:pPr>
              <w:rPr>
                <w:sz w:val="2"/>
                <w:szCs w:val="2"/>
              </w:rPr>
            </w:pPr>
          </w:p>
          <w:p w14:paraId="76611A44">
            <w:pPr>
              <w:rPr>
                <w:sz w:val="2"/>
                <w:szCs w:val="2"/>
              </w:rPr>
            </w:pPr>
          </w:p>
          <w:p w14:paraId="666CA3CC">
            <w:pPr>
              <w:rPr>
                <w:sz w:val="2"/>
                <w:szCs w:val="2"/>
              </w:rPr>
            </w:pPr>
          </w:p>
          <w:p w14:paraId="64ED58B5">
            <w:pPr>
              <w:rPr>
                <w:sz w:val="2"/>
                <w:szCs w:val="2"/>
              </w:rPr>
            </w:pPr>
          </w:p>
          <w:p w14:paraId="2A214D23">
            <w:pPr>
              <w:rPr>
                <w:sz w:val="2"/>
                <w:szCs w:val="2"/>
              </w:rPr>
            </w:pPr>
          </w:p>
          <w:p w14:paraId="19775C95">
            <w:pPr>
              <w:rPr>
                <w:sz w:val="2"/>
                <w:szCs w:val="2"/>
              </w:rPr>
            </w:pPr>
          </w:p>
          <w:p w14:paraId="486D231E">
            <w:pPr>
              <w:rPr>
                <w:sz w:val="2"/>
                <w:szCs w:val="2"/>
              </w:rPr>
            </w:pPr>
          </w:p>
          <w:p w14:paraId="31CEC81B">
            <w:pPr>
              <w:rPr>
                <w:sz w:val="2"/>
                <w:szCs w:val="2"/>
              </w:rPr>
            </w:pPr>
          </w:p>
          <w:p w14:paraId="072986AD">
            <w:pPr>
              <w:rPr>
                <w:sz w:val="2"/>
                <w:szCs w:val="2"/>
              </w:rPr>
            </w:pPr>
          </w:p>
          <w:p w14:paraId="4168C464">
            <w:pPr>
              <w:rPr>
                <w:sz w:val="2"/>
                <w:szCs w:val="2"/>
              </w:rPr>
            </w:pPr>
          </w:p>
          <w:p w14:paraId="370DDAA2">
            <w:pPr>
              <w:rPr>
                <w:sz w:val="2"/>
                <w:szCs w:val="2"/>
              </w:rPr>
            </w:pPr>
          </w:p>
          <w:p w14:paraId="2D601498">
            <w:pPr>
              <w:rPr>
                <w:sz w:val="2"/>
                <w:szCs w:val="2"/>
              </w:rPr>
            </w:pPr>
          </w:p>
          <w:p w14:paraId="2474BA78">
            <w:pPr>
              <w:rPr>
                <w:sz w:val="2"/>
                <w:szCs w:val="2"/>
              </w:rPr>
            </w:pPr>
          </w:p>
        </w:tc>
        <w:tc>
          <w:tcPr>
            <w:tcW w:w="876" w:type="dxa"/>
            <w:vMerge w:val="restart"/>
            <w:tcBorders>
              <w:top w:val="single" w:color="auto" w:sz="4" w:space="0"/>
              <w:left w:val="single" w:color="auto" w:sz="4" w:space="0"/>
              <w:right w:val="single" w:color="auto" w:sz="4" w:space="0"/>
            </w:tcBorders>
            <w:vAlign w:val="center"/>
          </w:tcPr>
          <w:p w14:paraId="5B802F0F">
            <w:pPr>
              <w:jc w:val="center"/>
              <w:rPr>
                <w:sz w:val="21"/>
                <w:szCs w:val="21"/>
              </w:rPr>
            </w:pPr>
            <w:r>
              <w:rPr>
                <w:rFonts w:hint="eastAsia"/>
                <w:sz w:val="21"/>
                <w:szCs w:val="21"/>
              </w:rPr>
              <w:t>响应性评审标准</w:t>
            </w:r>
          </w:p>
        </w:tc>
        <w:tc>
          <w:tcPr>
            <w:tcW w:w="2477" w:type="dxa"/>
            <w:tcBorders>
              <w:top w:val="single" w:color="auto" w:sz="4" w:space="0"/>
              <w:left w:val="single" w:color="auto" w:sz="4" w:space="0"/>
              <w:bottom w:val="single" w:color="auto" w:sz="4" w:space="0"/>
              <w:right w:val="single" w:color="auto" w:sz="4" w:space="0"/>
            </w:tcBorders>
            <w:vAlign w:val="center"/>
          </w:tcPr>
          <w:p w14:paraId="173E58CE">
            <w:pPr>
              <w:pStyle w:val="76"/>
              <w:spacing w:before="205"/>
              <w:ind w:left="12"/>
              <w:jc w:val="center"/>
              <w:rPr>
                <w:sz w:val="21"/>
              </w:rPr>
            </w:pPr>
            <w:r>
              <w:rPr>
                <w:spacing w:val="-4"/>
                <w:sz w:val="21"/>
              </w:rPr>
              <w:t>磋商报价</w:t>
            </w:r>
          </w:p>
        </w:tc>
        <w:tc>
          <w:tcPr>
            <w:tcW w:w="4817" w:type="dxa"/>
            <w:tcBorders>
              <w:top w:val="single" w:color="auto" w:sz="4" w:space="0"/>
              <w:left w:val="single" w:color="auto" w:sz="4" w:space="0"/>
              <w:bottom w:val="single" w:color="auto" w:sz="4" w:space="0"/>
              <w:right w:val="single" w:color="auto" w:sz="4" w:space="0"/>
            </w:tcBorders>
            <w:vAlign w:val="center"/>
          </w:tcPr>
          <w:p w14:paraId="7944F147">
            <w:pPr>
              <w:pStyle w:val="76"/>
              <w:spacing w:before="1"/>
              <w:ind w:left="4"/>
              <w:rPr>
                <w:sz w:val="21"/>
              </w:rPr>
            </w:pPr>
            <w:r>
              <w:rPr>
                <w:spacing w:val="-3"/>
                <w:sz w:val="21"/>
              </w:rPr>
              <w:t>报价未超过竞争性磋商文件中规定的最高限价且符</w:t>
            </w:r>
          </w:p>
          <w:p w14:paraId="4C0231DB">
            <w:pPr>
              <w:pStyle w:val="76"/>
              <w:spacing w:before="139"/>
              <w:ind w:left="4"/>
              <w:rPr>
                <w:sz w:val="21"/>
              </w:rPr>
            </w:pPr>
            <w:r>
              <w:rPr>
                <w:spacing w:val="-3"/>
                <w:sz w:val="21"/>
              </w:rPr>
              <w:t>合第二章 供应商须知</w:t>
            </w:r>
            <w:r>
              <w:rPr>
                <w:sz w:val="21"/>
              </w:rPr>
              <w:t>3.3</w:t>
            </w:r>
            <w:r>
              <w:rPr>
                <w:spacing w:val="-4"/>
                <w:sz w:val="21"/>
              </w:rPr>
              <w:t>项规定</w:t>
            </w:r>
          </w:p>
        </w:tc>
      </w:tr>
      <w:tr w14:paraId="3E8B9D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15" w:hRule="atLeast"/>
          <w:jc w:val="center"/>
        </w:trPr>
        <w:tc>
          <w:tcPr>
            <w:tcW w:w="900" w:type="dxa"/>
            <w:vMerge w:val="continue"/>
            <w:tcBorders>
              <w:left w:val="single" w:color="auto" w:sz="4" w:space="0"/>
              <w:right w:val="single" w:color="auto" w:sz="4" w:space="0"/>
            </w:tcBorders>
          </w:tcPr>
          <w:p w14:paraId="1BE6A036">
            <w:pPr>
              <w:rPr>
                <w:sz w:val="2"/>
                <w:szCs w:val="2"/>
              </w:rPr>
            </w:pPr>
          </w:p>
        </w:tc>
        <w:tc>
          <w:tcPr>
            <w:tcW w:w="876" w:type="dxa"/>
            <w:vMerge w:val="continue"/>
            <w:tcBorders>
              <w:left w:val="single" w:color="auto" w:sz="4" w:space="0"/>
              <w:right w:val="single" w:color="auto" w:sz="4" w:space="0"/>
            </w:tcBorders>
          </w:tcPr>
          <w:p w14:paraId="5A1A34AB">
            <w:pPr>
              <w:rPr>
                <w:sz w:val="2"/>
                <w:szCs w:val="2"/>
              </w:rPr>
            </w:pPr>
          </w:p>
        </w:tc>
        <w:tc>
          <w:tcPr>
            <w:tcW w:w="2477" w:type="dxa"/>
            <w:tcBorders>
              <w:top w:val="single" w:color="auto" w:sz="4" w:space="0"/>
              <w:left w:val="single" w:color="auto" w:sz="4" w:space="0"/>
              <w:bottom w:val="single" w:color="auto" w:sz="4" w:space="0"/>
              <w:right w:val="single" w:color="auto" w:sz="4" w:space="0"/>
            </w:tcBorders>
            <w:vAlign w:val="center"/>
          </w:tcPr>
          <w:p w14:paraId="159502CB">
            <w:pPr>
              <w:pStyle w:val="76"/>
              <w:spacing w:before="99"/>
              <w:ind w:left="12"/>
              <w:jc w:val="center"/>
              <w:rPr>
                <w:sz w:val="21"/>
              </w:rPr>
            </w:pPr>
            <w:r>
              <w:rPr>
                <w:spacing w:val="-4"/>
                <w:sz w:val="21"/>
              </w:rPr>
              <w:t>响应内容</w:t>
            </w:r>
          </w:p>
        </w:tc>
        <w:tc>
          <w:tcPr>
            <w:tcW w:w="4817" w:type="dxa"/>
            <w:tcBorders>
              <w:top w:val="single" w:color="auto" w:sz="4" w:space="0"/>
              <w:left w:val="single" w:color="auto" w:sz="4" w:space="0"/>
              <w:bottom w:val="single" w:color="auto" w:sz="4" w:space="0"/>
              <w:right w:val="single" w:color="auto" w:sz="4" w:space="0"/>
            </w:tcBorders>
            <w:vAlign w:val="center"/>
          </w:tcPr>
          <w:p w14:paraId="3BD89F7A">
            <w:pPr>
              <w:pStyle w:val="76"/>
              <w:spacing w:before="99"/>
              <w:ind w:left="4"/>
              <w:rPr>
                <w:sz w:val="21"/>
              </w:rPr>
            </w:pPr>
            <w:r>
              <w:rPr>
                <w:spacing w:val="-2"/>
                <w:sz w:val="21"/>
              </w:rPr>
              <w:t>符合第二章 供应商须知前附表1.3.1</w:t>
            </w:r>
            <w:r>
              <w:rPr>
                <w:spacing w:val="-5"/>
                <w:sz w:val="21"/>
              </w:rPr>
              <w:t>项规定</w:t>
            </w:r>
          </w:p>
        </w:tc>
      </w:tr>
      <w:tr w14:paraId="636796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15" w:hRule="atLeast"/>
          <w:jc w:val="center"/>
        </w:trPr>
        <w:tc>
          <w:tcPr>
            <w:tcW w:w="900" w:type="dxa"/>
            <w:vMerge w:val="continue"/>
            <w:tcBorders>
              <w:left w:val="single" w:color="auto" w:sz="4" w:space="0"/>
              <w:right w:val="single" w:color="auto" w:sz="4" w:space="0"/>
            </w:tcBorders>
          </w:tcPr>
          <w:p w14:paraId="7D2711B9">
            <w:pPr>
              <w:rPr>
                <w:sz w:val="2"/>
                <w:szCs w:val="2"/>
              </w:rPr>
            </w:pPr>
          </w:p>
        </w:tc>
        <w:tc>
          <w:tcPr>
            <w:tcW w:w="876" w:type="dxa"/>
            <w:vMerge w:val="continue"/>
            <w:tcBorders>
              <w:left w:val="single" w:color="auto" w:sz="4" w:space="0"/>
              <w:right w:val="single" w:color="auto" w:sz="4" w:space="0"/>
            </w:tcBorders>
          </w:tcPr>
          <w:p w14:paraId="07D500FA">
            <w:pPr>
              <w:rPr>
                <w:sz w:val="2"/>
                <w:szCs w:val="2"/>
              </w:rPr>
            </w:pPr>
          </w:p>
        </w:tc>
        <w:tc>
          <w:tcPr>
            <w:tcW w:w="2477" w:type="dxa"/>
            <w:tcBorders>
              <w:top w:val="single" w:color="auto" w:sz="4" w:space="0"/>
              <w:left w:val="single" w:color="auto" w:sz="4" w:space="0"/>
              <w:bottom w:val="single" w:color="auto" w:sz="4" w:space="0"/>
              <w:right w:val="single" w:color="auto" w:sz="4" w:space="0"/>
            </w:tcBorders>
            <w:vAlign w:val="center"/>
          </w:tcPr>
          <w:p w14:paraId="37E27F08">
            <w:pPr>
              <w:pStyle w:val="76"/>
              <w:spacing w:before="101"/>
              <w:ind w:left="79" w:right="69"/>
              <w:jc w:val="center"/>
              <w:rPr>
                <w:sz w:val="21"/>
              </w:rPr>
            </w:pPr>
            <w:r>
              <w:rPr>
                <w:spacing w:val="-5"/>
                <w:sz w:val="21"/>
              </w:rPr>
              <w:t>工期</w:t>
            </w:r>
          </w:p>
        </w:tc>
        <w:tc>
          <w:tcPr>
            <w:tcW w:w="4817" w:type="dxa"/>
            <w:tcBorders>
              <w:top w:val="single" w:color="auto" w:sz="4" w:space="0"/>
              <w:left w:val="single" w:color="auto" w:sz="4" w:space="0"/>
              <w:bottom w:val="single" w:color="auto" w:sz="4" w:space="0"/>
              <w:right w:val="single" w:color="auto" w:sz="4" w:space="0"/>
            </w:tcBorders>
            <w:vAlign w:val="center"/>
          </w:tcPr>
          <w:p w14:paraId="3BA36B8F">
            <w:pPr>
              <w:pStyle w:val="76"/>
              <w:spacing w:before="101"/>
              <w:ind w:left="4"/>
              <w:rPr>
                <w:sz w:val="21"/>
              </w:rPr>
            </w:pPr>
            <w:r>
              <w:rPr>
                <w:spacing w:val="-5"/>
                <w:sz w:val="21"/>
              </w:rPr>
              <w:t>符合第二章 供应商须知前附表</w:t>
            </w:r>
            <w:r>
              <w:rPr>
                <w:sz w:val="21"/>
              </w:rPr>
              <w:t>1.3.2</w:t>
            </w:r>
            <w:r>
              <w:rPr>
                <w:spacing w:val="-4"/>
                <w:sz w:val="21"/>
              </w:rPr>
              <w:t>项规定</w:t>
            </w:r>
          </w:p>
        </w:tc>
      </w:tr>
      <w:tr w14:paraId="6A81D7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15" w:hRule="atLeast"/>
          <w:jc w:val="center"/>
        </w:trPr>
        <w:tc>
          <w:tcPr>
            <w:tcW w:w="900" w:type="dxa"/>
            <w:vMerge w:val="continue"/>
            <w:tcBorders>
              <w:left w:val="single" w:color="auto" w:sz="4" w:space="0"/>
              <w:right w:val="single" w:color="auto" w:sz="4" w:space="0"/>
            </w:tcBorders>
          </w:tcPr>
          <w:p w14:paraId="1930AD61">
            <w:pPr>
              <w:rPr>
                <w:sz w:val="2"/>
                <w:szCs w:val="2"/>
              </w:rPr>
            </w:pPr>
          </w:p>
        </w:tc>
        <w:tc>
          <w:tcPr>
            <w:tcW w:w="876" w:type="dxa"/>
            <w:vMerge w:val="continue"/>
            <w:tcBorders>
              <w:left w:val="single" w:color="auto" w:sz="4" w:space="0"/>
              <w:right w:val="single" w:color="auto" w:sz="4" w:space="0"/>
            </w:tcBorders>
          </w:tcPr>
          <w:p w14:paraId="7EC453A4">
            <w:pPr>
              <w:rPr>
                <w:sz w:val="2"/>
                <w:szCs w:val="2"/>
              </w:rPr>
            </w:pPr>
          </w:p>
        </w:tc>
        <w:tc>
          <w:tcPr>
            <w:tcW w:w="2477" w:type="dxa"/>
            <w:tcBorders>
              <w:top w:val="single" w:color="auto" w:sz="4" w:space="0"/>
              <w:left w:val="single" w:color="auto" w:sz="4" w:space="0"/>
              <w:bottom w:val="single" w:color="auto" w:sz="4" w:space="0"/>
              <w:right w:val="single" w:color="auto" w:sz="4" w:space="0"/>
            </w:tcBorders>
            <w:vAlign w:val="center"/>
          </w:tcPr>
          <w:p w14:paraId="764A12B7">
            <w:pPr>
              <w:pStyle w:val="76"/>
              <w:spacing w:before="80"/>
              <w:ind w:left="12"/>
              <w:jc w:val="center"/>
              <w:rPr>
                <w:sz w:val="21"/>
              </w:rPr>
            </w:pPr>
            <w:r>
              <w:rPr>
                <w:spacing w:val="-4"/>
                <w:sz w:val="21"/>
              </w:rPr>
              <w:t>质量</w:t>
            </w:r>
            <w:r>
              <w:rPr>
                <w:rFonts w:hint="eastAsia"/>
                <w:spacing w:val="-4"/>
                <w:sz w:val="21"/>
              </w:rPr>
              <w:t>标准</w:t>
            </w:r>
          </w:p>
        </w:tc>
        <w:tc>
          <w:tcPr>
            <w:tcW w:w="4817" w:type="dxa"/>
            <w:tcBorders>
              <w:top w:val="single" w:color="auto" w:sz="4" w:space="0"/>
              <w:left w:val="single" w:color="auto" w:sz="4" w:space="0"/>
              <w:bottom w:val="single" w:color="auto" w:sz="4" w:space="0"/>
              <w:right w:val="single" w:color="auto" w:sz="4" w:space="0"/>
            </w:tcBorders>
            <w:vAlign w:val="center"/>
          </w:tcPr>
          <w:p w14:paraId="453E669E">
            <w:pPr>
              <w:pStyle w:val="76"/>
              <w:spacing w:before="80"/>
              <w:ind w:left="4"/>
              <w:rPr>
                <w:sz w:val="21"/>
              </w:rPr>
            </w:pPr>
            <w:r>
              <w:rPr>
                <w:spacing w:val="-5"/>
                <w:sz w:val="21"/>
              </w:rPr>
              <w:t>符合第二章 供应商须知前附表</w:t>
            </w:r>
            <w:r>
              <w:rPr>
                <w:sz w:val="21"/>
              </w:rPr>
              <w:t>1.3.3</w:t>
            </w:r>
            <w:r>
              <w:rPr>
                <w:spacing w:val="-4"/>
                <w:sz w:val="21"/>
              </w:rPr>
              <w:t>项规定</w:t>
            </w:r>
          </w:p>
        </w:tc>
      </w:tr>
      <w:tr w14:paraId="638B55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15" w:hRule="atLeast"/>
          <w:jc w:val="center"/>
        </w:trPr>
        <w:tc>
          <w:tcPr>
            <w:tcW w:w="900" w:type="dxa"/>
            <w:vMerge w:val="continue"/>
            <w:tcBorders>
              <w:left w:val="single" w:color="auto" w:sz="4" w:space="0"/>
              <w:right w:val="single" w:color="auto" w:sz="4" w:space="0"/>
            </w:tcBorders>
          </w:tcPr>
          <w:p w14:paraId="51123C39">
            <w:pPr>
              <w:rPr>
                <w:sz w:val="2"/>
                <w:szCs w:val="2"/>
              </w:rPr>
            </w:pPr>
          </w:p>
        </w:tc>
        <w:tc>
          <w:tcPr>
            <w:tcW w:w="876" w:type="dxa"/>
            <w:vMerge w:val="continue"/>
            <w:tcBorders>
              <w:left w:val="single" w:color="auto" w:sz="4" w:space="0"/>
              <w:right w:val="single" w:color="auto" w:sz="4" w:space="0"/>
            </w:tcBorders>
          </w:tcPr>
          <w:p w14:paraId="131F226A">
            <w:pPr>
              <w:rPr>
                <w:sz w:val="2"/>
                <w:szCs w:val="2"/>
              </w:rPr>
            </w:pPr>
          </w:p>
        </w:tc>
        <w:tc>
          <w:tcPr>
            <w:tcW w:w="2477" w:type="dxa"/>
            <w:tcBorders>
              <w:top w:val="single" w:color="auto" w:sz="4" w:space="0"/>
              <w:left w:val="single" w:color="auto" w:sz="4" w:space="0"/>
              <w:bottom w:val="single" w:color="auto" w:sz="4" w:space="0"/>
              <w:right w:val="single" w:color="auto" w:sz="4" w:space="0"/>
            </w:tcBorders>
            <w:vAlign w:val="center"/>
          </w:tcPr>
          <w:p w14:paraId="6D8C2400">
            <w:pPr>
              <w:pStyle w:val="76"/>
              <w:spacing w:before="139"/>
              <w:ind w:left="79" w:right="69"/>
              <w:jc w:val="center"/>
              <w:rPr>
                <w:sz w:val="21"/>
              </w:rPr>
            </w:pPr>
            <w:r>
              <w:rPr>
                <w:spacing w:val="-2"/>
                <w:sz w:val="21"/>
              </w:rPr>
              <w:t>质保期</w:t>
            </w:r>
          </w:p>
        </w:tc>
        <w:tc>
          <w:tcPr>
            <w:tcW w:w="4817" w:type="dxa"/>
            <w:tcBorders>
              <w:top w:val="single" w:color="auto" w:sz="4" w:space="0"/>
              <w:left w:val="single" w:color="auto" w:sz="4" w:space="0"/>
              <w:bottom w:val="single" w:color="auto" w:sz="4" w:space="0"/>
              <w:right w:val="single" w:color="auto" w:sz="4" w:space="0"/>
            </w:tcBorders>
            <w:vAlign w:val="center"/>
          </w:tcPr>
          <w:p w14:paraId="5C5AFA43">
            <w:pPr>
              <w:pStyle w:val="76"/>
              <w:spacing w:before="205"/>
              <w:ind w:left="4"/>
              <w:rPr>
                <w:sz w:val="21"/>
              </w:rPr>
            </w:pPr>
            <w:r>
              <w:rPr>
                <w:spacing w:val="-5"/>
                <w:sz w:val="21"/>
              </w:rPr>
              <w:t>符合第二章 供应商须知前附表</w:t>
            </w:r>
            <w:r>
              <w:rPr>
                <w:sz w:val="21"/>
              </w:rPr>
              <w:t>1.3.4</w:t>
            </w:r>
            <w:r>
              <w:rPr>
                <w:spacing w:val="-4"/>
                <w:sz w:val="21"/>
              </w:rPr>
              <w:t>项规定</w:t>
            </w:r>
          </w:p>
        </w:tc>
      </w:tr>
      <w:tr w14:paraId="70EC68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15" w:hRule="atLeast"/>
          <w:jc w:val="center"/>
        </w:trPr>
        <w:tc>
          <w:tcPr>
            <w:tcW w:w="900" w:type="dxa"/>
            <w:vMerge w:val="continue"/>
            <w:tcBorders>
              <w:left w:val="single" w:color="auto" w:sz="4" w:space="0"/>
              <w:right w:val="single" w:color="auto" w:sz="4" w:space="0"/>
            </w:tcBorders>
          </w:tcPr>
          <w:p w14:paraId="036B6B39">
            <w:pPr>
              <w:rPr>
                <w:sz w:val="2"/>
                <w:szCs w:val="2"/>
              </w:rPr>
            </w:pPr>
          </w:p>
        </w:tc>
        <w:tc>
          <w:tcPr>
            <w:tcW w:w="876" w:type="dxa"/>
            <w:vMerge w:val="continue"/>
            <w:tcBorders>
              <w:left w:val="single" w:color="auto" w:sz="4" w:space="0"/>
              <w:right w:val="single" w:color="auto" w:sz="4" w:space="0"/>
            </w:tcBorders>
          </w:tcPr>
          <w:p w14:paraId="1B0DE4F6">
            <w:pPr>
              <w:rPr>
                <w:sz w:val="2"/>
                <w:szCs w:val="2"/>
              </w:rPr>
            </w:pPr>
          </w:p>
        </w:tc>
        <w:tc>
          <w:tcPr>
            <w:tcW w:w="2477" w:type="dxa"/>
            <w:tcBorders>
              <w:top w:val="single" w:color="auto" w:sz="4" w:space="0"/>
              <w:left w:val="single" w:color="auto" w:sz="4" w:space="0"/>
              <w:bottom w:val="single" w:color="auto" w:sz="4" w:space="0"/>
              <w:right w:val="single" w:color="auto" w:sz="4" w:space="0"/>
            </w:tcBorders>
            <w:vAlign w:val="center"/>
          </w:tcPr>
          <w:p w14:paraId="72A01E92">
            <w:pPr>
              <w:pStyle w:val="76"/>
              <w:spacing w:before="80"/>
              <w:ind w:left="12"/>
              <w:jc w:val="center"/>
              <w:rPr>
                <w:sz w:val="21"/>
              </w:rPr>
            </w:pPr>
            <w:r>
              <w:rPr>
                <w:spacing w:val="-4"/>
                <w:sz w:val="21"/>
              </w:rPr>
              <w:t>磋商有效期</w:t>
            </w:r>
          </w:p>
        </w:tc>
        <w:tc>
          <w:tcPr>
            <w:tcW w:w="4817" w:type="dxa"/>
            <w:tcBorders>
              <w:top w:val="single" w:color="auto" w:sz="4" w:space="0"/>
              <w:left w:val="single" w:color="auto" w:sz="4" w:space="0"/>
              <w:bottom w:val="single" w:color="auto" w:sz="4" w:space="0"/>
              <w:right w:val="single" w:color="auto" w:sz="4" w:space="0"/>
            </w:tcBorders>
            <w:vAlign w:val="center"/>
          </w:tcPr>
          <w:p w14:paraId="3BFFFC0C">
            <w:pPr>
              <w:pStyle w:val="76"/>
              <w:spacing w:before="80"/>
              <w:ind w:left="4"/>
              <w:rPr>
                <w:sz w:val="21"/>
              </w:rPr>
            </w:pPr>
            <w:r>
              <w:rPr>
                <w:spacing w:val="-5"/>
                <w:sz w:val="21"/>
              </w:rPr>
              <w:t>符合第二章 供应商须知前附表</w:t>
            </w:r>
            <w:r>
              <w:rPr>
                <w:sz w:val="21"/>
              </w:rPr>
              <w:t>3.4.1</w:t>
            </w:r>
            <w:r>
              <w:rPr>
                <w:spacing w:val="-4"/>
                <w:sz w:val="21"/>
              </w:rPr>
              <w:t>项规定</w:t>
            </w:r>
          </w:p>
        </w:tc>
      </w:tr>
      <w:tr w14:paraId="763FBB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15" w:hRule="atLeast"/>
          <w:jc w:val="center"/>
        </w:trPr>
        <w:tc>
          <w:tcPr>
            <w:tcW w:w="900" w:type="dxa"/>
            <w:vMerge w:val="continue"/>
            <w:tcBorders>
              <w:left w:val="single" w:color="auto" w:sz="4" w:space="0"/>
              <w:right w:val="single" w:color="auto" w:sz="4" w:space="0"/>
            </w:tcBorders>
          </w:tcPr>
          <w:p w14:paraId="4A1BC981">
            <w:pPr>
              <w:rPr>
                <w:sz w:val="2"/>
                <w:szCs w:val="2"/>
              </w:rPr>
            </w:pPr>
          </w:p>
        </w:tc>
        <w:tc>
          <w:tcPr>
            <w:tcW w:w="876" w:type="dxa"/>
            <w:vMerge w:val="continue"/>
            <w:tcBorders>
              <w:left w:val="single" w:color="auto" w:sz="4" w:space="0"/>
              <w:right w:val="single" w:color="auto" w:sz="4" w:space="0"/>
            </w:tcBorders>
          </w:tcPr>
          <w:p w14:paraId="2AC614A9">
            <w:pPr>
              <w:rPr>
                <w:sz w:val="2"/>
                <w:szCs w:val="2"/>
              </w:rPr>
            </w:pPr>
          </w:p>
        </w:tc>
        <w:tc>
          <w:tcPr>
            <w:tcW w:w="2477" w:type="dxa"/>
            <w:tcBorders>
              <w:top w:val="single" w:color="auto" w:sz="4" w:space="0"/>
              <w:left w:val="single" w:color="auto" w:sz="4" w:space="0"/>
              <w:bottom w:val="single" w:color="auto" w:sz="4" w:space="0"/>
              <w:right w:val="single" w:color="auto" w:sz="4" w:space="0"/>
            </w:tcBorders>
            <w:vAlign w:val="center"/>
          </w:tcPr>
          <w:p w14:paraId="185AD817">
            <w:pPr>
              <w:pStyle w:val="76"/>
              <w:spacing w:before="80"/>
              <w:ind w:left="12"/>
              <w:jc w:val="center"/>
              <w:rPr>
                <w:sz w:val="21"/>
              </w:rPr>
            </w:pPr>
            <w:r>
              <w:rPr>
                <w:spacing w:val="-4"/>
                <w:sz w:val="21"/>
              </w:rPr>
              <w:t>权利义务</w:t>
            </w:r>
          </w:p>
        </w:tc>
        <w:tc>
          <w:tcPr>
            <w:tcW w:w="4817" w:type="dxa"/>
            <w:tcBorders>
              <w:top w:val="single" w:color="auto" w:sz="4" w:space="0"/>
              <w:left w:val="single" w:color="auto" w:sz="4" w:space="0"/>
              <w:bottom w:val="single" w:color="auto" w:sz="4" w:space="0"/>
              <w:right w:val="single" w:color="auto" w:sz="4" w:space="0"/>
            </w:tcBorders>
            <w:vAlign w:val="center"/>
          </w:tcPr>
          <w:p w14:paraId="1783352E">
            <w:pPr>
              <w:pStyle w:val="76"/>
              <w:spacing w:before="80"/>
              <w:ind w:left="4"/>
              <w:rPr>
                <w:sz w:val="21"/>
              </w:rPr>
            </w:pPr>
            <w:r>
              <w:rPr>
                <w:spacing w:val="-3"/>
                <w:sz w:val="21"/>
              </w:rPr>
              <w:t>符合第四章“合同条款及格式”规定</w:t>
            </w:r>
          </w:p>
        </w:tc>
      </w:tr>
      <w:tr w14:paraId="570F00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15" w:hRule="atLeast"/>
          <w:jc w:val="center"/>
        </w:trPr>
        <w:tc>
          <w:tcPr>
            <w:tcW w:w="900" w:type="dxa"/>
            <w:vMerge w:val="continue"/>
            <w:tcBorders>
              <w:left w:val="single" w:color="auto" w:sz="4" w:space="0"/>
              <w:right w:val="single" w:color="auto" w:sz="4" w:space="0"/>
            </w:tcBorders>
          </w:tcPr>
          <w:p w14:paraId="40CF6001">
            <w:pPr>
              <w:rPr>
                <w:sz w:val="2"/>
                <w:szCs w:val="2"/>
              </w:rPr>
            </w:pPr>
          </w:p>
        </w:tc>
        <w:tc>
          <w:tcPr>
            <w:tcW w:w="876" w:type="dxa"/>
            <w:vMerge w:val="continue"/>
            <w:tcBorders>
              <w:left w:val="single" w:color="auto" w:sz="4" w:space="0"/>
              <w:right w:val="single" w:color="auto" w:sz="4" w:space="0"/>
            </w:tcBorders>
          </w:tcPr>
          <w:p w14:paraId="49021AD6">
            <w:pPr>
              <w:rPr>
                <w:sz w:val="2"/>
                <w:szCs w:val="2"/>
              </w:rPr>
            </w:pPr>
          </w:p>
        </w:tc>
        <w:tc>
          <w:tcPr>
            <w:tcW w:w="2477" w:type="dxa"/>
            <w:tcBorders>
              <w:top w:val="single" w:color="auto" w:sz="4" w:space="0"/>
              <w:left w:val="single" w:color="auto" w:sz="4" w:space="0"/>
              <w:bottom w:val="single" w:color="auto" w:sz="4" w:space="0"/>
              <w:right w:val="single" w:color="auto" w:sz="4" w:space="0"/>
            </w:tcBorders>
            <w:vAlign w:val="center"/>
          </w:tcPr>
          <w:p w14:paraId="7C4CB1EA">
            <w:pPr>
              <w:pStyle w:val="76"/>
              <w:spacing w:before="80"/>
              <w:ind w:left="79" w:right="69"/>
              <w:jc w:val="center"/>
              <w:rPr>
                <w:sz w:val="21"/>
              </w:rPr>
            </w:pPr>
            <w:r>
              <w:rPr>
                <w:spacing w:val="-4"/>
                <w:sz w:val="21"/>
              </w:rPr>
              <w:t>技术标准和要求</w:t>
            </w:r>
          </w:p>
        </w:tc>
        <w:tc>
          <w:tcPr>
            <w:tcW w:w="4817" w:type="dxa"/>
            <w:tcBorders>
              <w:top w:val="single" w:color="auto" w:sz="4" w:space="0"/>
              <w:left w:val="single" w:color="auto" w:sz="4" w:space="0"/>
              <w:bottom w:val="single" w:color="auto" w:sz="4" w:space="0"/>
              <w:right w:val="single" w:color="auto" w:sz="4" w:space="0"/>
            </w:tcBorders>
            <w:vAlign w:val="center"/>
          </w:tcPr>
          <w:p w14:paraId="71AF1C92">
            <w:pPr>
              <w:pStyle w:val="76"/>
              <w:spacing w:before="80"/>
              <w:ind w:left="4"/>
              <w:rPr>
                <w:sz w:val="21"/>
              </w:rPr>
            </w:pPr>
            <w:r>
              <w:rPr>
                <w:spacing w:val="-3"/>
                <w:sz w:val="21"/>
              </w:rPr>
              <w:t>符合第六章“技术标准和要求”规定</w:t>
            </w:r>
          </w:p>
        </w:tc>
      </w:tr>
      <w:tr w14:paraId="503952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15" w:hRule="atLeast"/>
          <w:jc w:val="center"/>
        </w:trPr>
        <w:tc>
          <w:tcPr>
            <w:tcW w:w="900" w:type="dxa"/>
            <w:vMerge w:val="continue"/>
            <w:tcBorders>
              <w:left w:val="single" w:color="auto" w:sz="4" w:space="0"/>
              <w:bottom w:val="single" w:color="auto" w:sz="4" w:space="0"/>
              <w:right w:val="single" w:color="auto" w:sz="4" w:space="0"/>
            </w:tcBorders>
          </w:tcPr>
          <w:p w14:paraId="01549783">
            <w:pPr>
              <w:rPr>
                <w:sz w:val="2"/>
                <w:szCs w:val="2"/>
              </w:rPr>
            </w:pPr>
          </w:p>
        </w:tc>
        <w:tc>
          <w:tcPr>
            <w:tcW w:w="876" w:type="dxa"/>
            <w:vMerge w:val="continue"/>
            <w:tcBorders>
              <w:left w:val="single" w:color="auto" w:sz="4" w:space="0"/>
              <w:bottom w:val="single" w:color="auto" w:sz="4" w:space="0"/>
              <w:right w:val="single" w:color="auto" w:sz="4" w:space="0"/>
            </w:tcBorders>
          </w:tcPr>
          <w:p w14:paraId="6A18541C">
            <w:pPr>
              <w:rPr>
                <w:sz w:val="2"/>
                <w:szCs w:val="2"/>
              </w:rPr>
            </w:pPr>
          </w:p>
        </w:tc>
        <w:tc>
          <w:tcPr>
            <w:tcW w:w="2477" w:type="dxa"/>
            <w:tcBorders>
              <w:top w:val="single" w:color="auto" w:sz="4" w:space="0"/>
              <w:left w:val="single" w:color="auto" w:sz="4" w:space="0"/>
              <w:bottom w:val="single" w:color="auto" w:sz="4" w:space="0"/>
              <w:right w:val="single" w:color="auto" w:sz="4" w:space="0"/>
            </w:tcBorders>
            <w:vAlign w:val="center"/>
          </w:tcPr>
          <w:p w14:paraId="52148153">
            <w:pPr>
              <w:pStyle w:val="76"/>
              <w:spacing w:before="82"/>
              <w:ind w:left="79" w:right="69"/>
              <w:jc w:val="center"/>
              <w:rPr>
                <w:sz w:val="21"/>
              </w:rPr>
            </w:pPr>
            <w:r>
              <w:rPr>
                <w:spacing w:val="-4"/>
                <w:sz w:val="21"/>
              </w:rPr>
              <w:t>其它实质性条款</w:t>
            </w:r>
          </w:p>
        </w:tc>
        <w:tc>
          <w:tcPr>
            <w:tcW w:w="4817" w:type="dxa"/>
            <w:tcBorders>
              <w:top w:val="single" w:color="auto" w:sz="4" w:space="0"/>
              <w:left w:val="single" w:color="auto" w:sz="4" w:space="0"/>
              <w:bottom w:val="single" w:color="auto" w:sz="4" w:space="0"/>
              <w:right w:val="single" w:color="auto" w:sz="4" w:space="0"/>
            </w:tcBorders>
            <w:vAlign w:val="center"/>
          </w:tcPr>
          <w:p w14:paraId="486F5E50">
            <w:pPr>
              <w:pStyle w:val="76"/>
              <w:spacing w:before="82"/>
              <w:ind w:left="4"/>
              <w:rPr>
                <w:sz w:val="21"/>
              </w:rPr>
            </w:pPr>
            <w:r>
              <w:rPr>
                <w:spacing w:val="-3"/>
                <w:sz w:val="21"/>
              </w:rPr>
              <w:t>符合竞争性磋商文件中规定的其它实质性条款</w:t>
            </w:r>
          </w:p>
        </w:tc>
      </w:tr>
    </w:tbl>
    <w:p w14:paraId="2D97F7D2">
      <w:pPr>
        <w:pStyle w:val="76"/>
        <w:rPr>
          <w:sz w:val="21"/>
        </w:rPr>
        <w:sectPr>
          <w:pgSz w:w="11920" w:h="16850"/>
          <w:pgMar w:top="1440" w:right="992" w:bottom="1100" w:left="1133" w:header="0" w:footer="913" w:gutter="0"/>
          <w:cols w:space="720" w:num="1"/>
        </w:sectPr>
      </w:pPr>
    </w:p>
    <w:p w14:paraId="69388022">
      <w:pPr>
        <w:pStyle w:val="76"/>
        <w:spacing w:line="364" w:lineRule="auto"/>
        <w:rPr>
          <w:sz w:val="21"/>
        </w:rPr>
        <w:sectPr>
          <w:type w:val="continuous"/>
          <w:pgSz w:w="11920" w:h="16850"/>
          <w:pgMar w:top="1460" w:right="992" w:bottom="1100" w:left="1133" w:header="0" w:footer="913" w:gutter="0"/>
          <w:cols w:space="720" w:num="1"/>
        </w:sectPr>
      </w:pPr>
    </w:p>
    <w:p w14:paraId="2ABBF171">
      <w:pPr>
        <w:pStyle w:val="76"/>
        <w:rPr>
          <w:sz w:val="21"/>
        </w:rPr>
        <w:sectPr>
          <w:type w:val="continuous"/>
          <w:pgSz w:w="11920" w:h="16850"/>
          <w:pgMar w:top="1460" w:right="992" w:bottom="1100" w:left="1133" w:header="0" w:footer="913" w:gutter="0"/>
          <w:cols w:space="720" w:num="1"/>
        </w:sectPr>
      </w:pPr>
    </w:p>
    <w:p w14:paraId="0B2F4D27">
      <w:pPr>
        <w:pStyle w:val="8"/>
        <w:spacing w:line="386" w:lineRule="exact"/>
        <w:ind w:left="0" w:right="230"/>
        <w:jc w:val="center"/>
        <w:rPr>
          <w:rFonts w:ascii="宋体" w:hAnsi="宋体" w:eastAsia="宋体"/>
        </w:rPr>
      </w:pPr>
      <w:r>
        <w:rPr>
          <w:rFonts w:ascii="宋体" w:hAnsi="宋体" w:eastAsia="宋体"/>
          <w:spacing w:val="-2"/>
        </w:rPr>
        <w:t>二、详细评审办法</w:t>
      </w:r>
    </w:p>
    <w:tbl>
      <w:tblPr>
        <w:tblStyle w:val="46"/>
        <w:tblW w:w="0" w:type="auto"/>
        <w:tblInd w:w="31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126"/>
        <w:gridCol w:w="1765"/>
        <w:gridCol w:w="6181"/>
      </w:tblGrid>
      <w:tr w14:paraId="223120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8" w:hRule="atLeast"/>
        </w:trPr>
        <w:tc>
          <w:tcPr>
            <w:tcW w:w="1126" w:type="dxa"/>
            <w:vAlign w:val="center"/>
          </w:tcPr>
          <w:p w14:paraId="6A15FD49">
            <w:pPr>
              <w:pStyle w:val="76"/>
              <w:spacing w:before="13"/>
              <w:ind w:left="350"/>
              <w:rPr>
                <w:b/>
                <w:sz w:val="21"/>
              </w:rPr>
            </w:pPr>
            <w:r>
              <w:rPr>
                <w:b/>
                <w:spacing w:val="-5"/>
                <w:sz w:val="21"/>
              </w:rPr>
              <w:t>分项</w:t>
            </w:r>
          </w:p>
        </w:tc>
        <w:tc>
          <w:tcPr>
            <w:tcW w:w="1765" w:type="dxa"/>
            <w:vAlign w:val="center"/>
          </w:tcPr>
          <w:p w14:paraId="4392A1BF">
            <w:pPr>
              <w:pStyle w:val="76"/>
              <w:spacing w:before="13"/>
              <w:ind w:left="143"/>
              <w:jc w:val="center"/>
              <w:rPr>
                <w:b/>
                <w:sz w:val="21"/>
              </w:rPr>
            </w:pPr>
            <w:r>
              <w:rPr>
                <w:b/>
                <w:spacing w:val="-2"/>
                <w:sz w:val="21"/>
              </w:rPr>
              <w:t>评审内容及分值</w:t>
            </w:r>
          </w:p>
        </w:tc>
        <w:tc>
          <w:tcPr>
            <w:tcW w:w="6181" w:type="dxa"/>
            <w:vAlign w:val="center"/>
          </w:tcPr>
          <w:p w14:paraId="1D10C2D9">
            <w:pPr>
              <w:pStyle w:val="76"/>
              <w:spacing w:before="13"/>
              <w:ind w:left="10"/>
              <w:jc w:val="center"/>
              <w:rPr>
                <w:b/>
                <w:sz w:val="21"/>
              </w:rPr>
            </w:pPr>
            <w:r>
              <w:rPr>
                <w:b/>
                <w:spacing w:val="-3"/>
                <w:sz w:val="21"/>
              </w:rPr>
              <w:t>评分标准</w:t>
            </w:r>
          </w:p>
        </w:tc>
      </w:tr>
      <w:tr w14:paraId="0915F4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03" w:hRule="atLeast"/>
        </w:trPr>
        <w:tc>
          <w:tcPr>
            <w:tcW w:w="1126" w:type="dxa"/>
          </w:tcPr>
          <w:p w14:paraId="69863662">
            <w:pPr>
              <w:pStyle w:val="76"/>
              <w:rPr>
                <w:b/>
                <w:sz w:val="21"/>
              </w:rPr>
            </w:pPr>
          </w:p>
          <w:p w14:paraId="1205FC1C">
            <w:pPr>
              <w:pStyle w:val="76"/>
              <w:rPr>
                <w:b/>
                <w:sz w:val="21"/>
              </w:rPr>
            </w:pPr>
          </w:p>
          <w:p w14:paraId="22B4C2BC">
            <w:pPr>
              <w:pStyle w:val="76"/>
              <w:rPr>
                <w:b/>
                <w:sz w:val="21"/>
              </w:rPr>
            </w:pPr>
          </w:p>
          <w:p w14:paraId="1E65A558">
            <w:pPr>
              <w:pStyle w:val="76"/>
              <w:rPr>
                <w:b/>
                <w:sz w:val="21"/>
              </w:rPr>
            </w:pPr>
          </w:p>
          <w:p w14:paraId="6F4536D0">
            <w:pPr>
              <w:pStyle w:val="76"/>
              <w:spacing w:before="112"/>
              <w:rPr>
                <w:b/>
                <w:sz w:val="21"/>
              </w:rPr>
            </w:pPr>
          </w:p>
          <w:p w14:paraId="6D28D649">
            <w:pPr>
              <w:pStyle w:val="76"/>
              <w:ind w:firstLine="202" w:firstLineChars="100"/>
              <w:jc w:val="center"/>
              <w:rPr>
                <w:sz w:val="21"/>
              </w:rPr>
            </w:pPr>
            <w:r>
              <w:rPr>
                <w:spacing w:val="-4"/>
                <w:sz w:val="21"/>
              </w:rPr>
              <w:t>经济标</w:t>
            </w:r>
          </w:p>
          <w:p w14:paraId="06D3288C">
            <w:pPr>
              <w:pStyle w:val="76"/>
              <w:spacing w:before="139"/>
              <w:ind w:left="-1" w:leftChars="-5" w:hanging="10" w:hangingChars="5"/>
              <w:jc w:val="center"/>
              <w:rPr>
                <w:sz w:val="21"/>
              </w:rPr>
            </w:pPr>
            <w:r>
              <w:rPr>
                <w:spacing w:val="-2"/>
                <w:sz w:val="21"/>
              </w:rPr>
              <w:t>（30分</w:t>
            </w:r>
            <w:r>
              <w:rPr>
                <w:spacing w:val="-10"/>
                <w:sz w:val="21"/>
              </w:rPr>
              <w:t>）</w:t>
            </w:r>
          </w:p>
        </w:tc>
        <w:tc>
          <w:tcPr>
            <w:tcW w:w="1765" w:type="dxa"/>
          </w:tcPr>
          <w:p w14:paraId="008F822C">
            <w:pPr>
              <w:pStyle w:val="76"/>
              <w:rPr>
                <w:b/>
                <w:sz w:val="21"/>
              </w:rPr>
            </w:pPr>
          </w:p>
          <w:p w14:paraId="6CA0AF0C">
            <w:pPr>
              <w:pStyle w:val="76"/>
              <w:rPr>
                <w:b/>
                <w:sz w:val="21"/>
              </w:rPr>
            </w:pPr>
          </w:p>
          <w:p w14:paraId="71C700C7">
            <w:pPr>
              <w:pStyle w:val="76"/>
              <w:rPr>
                <w:b/>
                <w:sz w:val="21"/>
              </w:rPr>
            </w:pPr>
          </w:p>
          <w:p w14:paraId="262598B6">
            <w:pPr>
              <w:pStyle w:val="76"/>
              <w:rPr>
                <w:b/>
                <w:sz w:val="21"/>
              </w:rPr>
            </w:pPr>
          </w:p>
          <w:p w14:paraId="456CC95E">
            <w:pPr>
              <w:pStyle w:val="76"/>
              <w:spacing w:before="112"/>
              <w:rPr>
                <w:b/>
                <w:sz w:val="21"/>
              </w:rPr>
            </w:pPr>
          </w:p>
          <w:p w14:paraId="1AB6198B">
            <w:pPr>
              <w:pStyle w:val="76"/>
              <w:spacing w:line="364" w:lineRule="auto"/>
              <w:ind w:left="284" w:right="238" w:hanging="33"/>
              <w:rPr>
                <w:sz w:val="21"/>
              </w:rPr>
            </w:pPr>
            <w:r>
              <w:rPr>
                <w:spacing w:val="-2"/>
                <w:sz w:val="21"/>
              </w:rPr>
              <w:t>磋商报价（30</w:t>
            </w:r>
            <w:r>
              <w:rPr>
                <w:spacing w:val="-6"/>
                <w:sz w:val="21"/>
              </w:rPr>
              <w:t>分）</w:t>
            </w:r>
          </w:p>
        </w:tc>
        <w:tc>
          <w:tcPr>
            <w:tcW w:w="6181" w:type="dxa"/>
          </w:tcPr>
          <w:p w14:paraId="3DBDD052">
            <w:pPr>
              <w:pStyle w:val="76"/>
              <w:spacing w:before="1" w:line="364" w:lineRule="auto"/>
              <w:ind w:left="106" w:right="176"/>
              <w:jc w:val="both"/>
              <w:rPr>
                <w:sz w:val="21"/>
              </w:rPr>
            </w:pPr>
            <w:r>
              <w:rPr>
                <w:spacing w:val="-2"/>
                <w:sz w:val="21"/>
              </w:rPr>
              <w:t>价格分统一采用低价优先法计算，即满足磋商文件要求且最终报价最低的为评审基准价，其价格分为满分。其他供应商的价格分统一按照下列公式计算：</w:t>
            </w:r>
          </w:p>
          <w:p w14:paraId="40B7E81B">
            <w:pPr>
              <w:pStyle w:val="76"/>
              <w:spacing w:line="364" w:lineRule="auto"/>
              <w:ind w:left="106" w:right="1070"/>
              <w:rPr>
                <w:spacing w:val="-2"/>
                <w:sz w:val="21"/>
              </w:rPr>
            </w:pPr>
            <w:r>
              <w:rPr>
                <w:spacing w:val="-2"/>
                <w:sz w:val="21"/>
              </w:rPr>
              <w:t>磋商报价得分=(评审基准价/磋商报价)×30</w:t>
            </w:r>
          </w:p>
          <w:p w14:paraId="1AF60958">
            <w:pPr>
              <w:pStyle w:val="76"/>
              <w:spacing w:line="364" w:lineRule="auto"/>
              <w:ind w:left="106" w:right="1070"/>
              <w:rPr>
                <w:sz w:val="21"/>
              </w:rPr>
            </w:pPr>
            <w:r>
              <w:rPr>
                <w:spacing w:val="-4"/>
                <w:sz w:val="21"/>
              </w:rPr>
              <w:t>备注：</w:t>
            </w:r>
          </w:p>
          <w:p w14:paraId="44010579">
            <w:pPr>
              <w:pStyle w:val="76"/>
              <w:spacing w:line="364" w:lineRule="auto"/>
              <w:ind w:left="-1" w:leftChars="-30" w:hanging="65" w:hangingChars="32"/>
              <w:rPr>
                <w:sz w:val="21"/>
              </w:rPr>
            </w:pPr>
            <w:r>
              <w:rPr>
                <w:spacing w:val="-2"/>
                <w:sz w:val="21"/>
              </w:rPr>
              <w:t>1.本项目专门面向中小企业采购，残疾人福利性单位、监狱企业视同小型、微型企业，不再执行价格评审优惠。</w:t>
            </w:r>
          </w:p>
          <w:p w14:paraId="20404F2F">
            <w:pPr>
              <w:pStyle w:val="76"/>
              <w:tabs>
                <w:tab w:val="left" w:pos="317"/>
              </w:tabs>
              <w:spacing w:line="364" w:lineRule="auto"/>
              <w:ind w:left="-107" w:right="176"/>
              <w:rPr>
                <w:sz w:val="21"/>
              </w:rPr>
            </w:pPr>
            <w:r>
              <w:rPr>
                <w:rFonts w:hint="eastAsia"/>
                <w:spacing w:val="-2"/>
                <w:sz w:val="21"/>
              </w:rPr>
              <w:t>2</w:t>
            </w:r>
            <w:r>
              <w:rPr>
                <w:spacing w:val="-2"/>
                <w:sz w:val="21"/>
              </w:rPr>
              <w:t>.磋商小组认为供应商的报价明显低于其他通过符合性审查供应商的报价，有可能影响质量、影响安全施工或者不能诚信履约</w:t>
            </w:r>
            <w:r>
              <w:rPr>
                <w:spacing w:val="40"/>
                <w:sz w:val="21"/>
              </w:rPr>
              <w:t xml:space="preserve"> </w:t>
            </w:r>
            <w:r>
              <w:rPr>
                <w:spacing w:val="-2"/>
                <w:sz w:val="21"/>
              </w:rPr>
              <w:t>的，应当要求其在合理的时间内提供书面说明，并提交相关证明材料；供应商不能合理说明或不能提交有力证明材料证明其报价</w:t>
            </w:r>
            <w:r>
              <w:rPr>
                <w:spacing w:val="-3"/>
                <w:sz w:val="21"/>
              </w:rPr>
              <w:t>合理性的，磋商小组应当将其作为无效响应处理。</w:t>
            </w:r>
          </w:p>
        </w:tc>
      </w:tr>
      <w:tr w14:paraId="52A3D8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19" w:hRule="atLeast"/>
        </w:trPr>
        <w:tc>
          <w:tcPr>
            <w:tcW w:w="1126" w:type="dxa"/>
            <w:vMerge w:val="restart"/>
          </w:tcPr>
          <w:p w14:paraId="09D3D075">
            <w:pPr>
              <w:pStyle w:val="76"/>
              <w:rPr>
                <w:b/>
                <w:sz w:val="21"/>
              </w:rPr>
            </w:pPr>
          </w:p>
          <w:p w14:paraId="1A1F795D">
            <w:pPr>
              <w:pStyle w:val="76"/>
              <w:rPr>
                <w:b/>
                <w:sz w:val="21"/>
              </w:rPr>
            </w:pPr>
          </w:p>
          <w:p w14:paraId="328C4058">
            <w:pPr>
              <w:pStyle w:val="76"/>
              <w:rPr>
                <w:b/>
                <w:sz w:val="21"/>
              </w:rPr>
            </w:pPr>
          </w:p>
          <w:p w14:paraId="2798367F">
            <w:pPr>
              <w:pStyle w:val="76"/>
              <w:rPr>
                <w:b/>
                <w:sz w:val="21"/>
              </w:rPr>
            </w:pPr>
          </w:p>
          <w:p w14:paraId="5F592D9E">
            <w:pPr>
              <w:pStyle w:val="76"/>
              <w:rPr>
                <w:b/>
                <w:sz w:val="21"/>
              </w:rPr>
            </w:pPr>
          </w:p>
          <w:p w14:paraId="3DD30618">
            <w:pPr>
              <w:pStyle w:val="76"/>
              <w:rPr>
                <w:b/>
                <w:sz w:val="21"/>
              </w:rPr>
            </w:pPr>
          </w:p>
          <w:p w14:paraId="2654F7C8">
            <w:pPr>
              <w:pStyle w:val="76"/>
              <w:rPr>
                <w:b/>
                <w:sz w:val="21"/>
              </w:rPr>
            </w:pPr>
          </w:p>
          <w:p w14:paraId="25D7CC8F">
            <w:pPr>
              <w:pStyle w:val="76"/>
              <w:rPr>
                <w:b/>
                <w:sz w:val="21"/>
              </w:rPr>
            </w:pPr>
          </w:p>
          <w:p w14:paraId="07F87DED">
            <w:pPr>
              <w:pStyle w:val="76"/>
              <w:spacing w:before="8"/>
              <w:rPr>
                <w:b/>
                <w:sz w:val="21"/>
              </w:rPr>
            </w:pPr>
          </w:p>
          <w:p w14:paraId="781E2598">
            <w:pPr>
              <w:pStyle w:val="76"/>
              <w:ind w:left="11"/>
              <w:jc w:val="center"/>
              <w:rPr>
                <w:sz w:val="21"/>
              </w:rPr>
            </w:pPr>
            <w:r>
              <w:rPr>
                <w:spacing w:val="-5"/>
                <w:sz w:val="21"/>
              </w:rPr>
              <w:t>技术标</w:t>
            </w:r>
          </w:p>
          <w:p w14:paraId="3D357A51">
            <w:pPr>
              <w:pStyle w:val="76"/>
              <w:spacing w:before="139"/>
              <w:ind w:left="11" w:right="5"/>
              <w:jc w:val="center"/>
              <w:rPr>
                <w:sz w:val="21"/>
              </w:rPr>
            </w:pPr>
            <w:r>
              <w:rPr>
                <w:spacing w:val="-2"/>
                <w:sz w:val="21"/>
              </w:rPr>
              <w:t>（50分</w:t>
            </w:r>
            <w:r>
              <w:rPr>
                <w:spacing w:val="-10"/>
                <w:sz w:val="21"/>
              </w:rPr>
              <w:t>）</w:t>
            </w:r>
          </w:p>
        </w:tc>
        <w:tc>
          <w:tcPr>
            <w:tcW w:w="1765" w:type="dxa"/>
          </w:tcPr>
          <w:p w14:paraId="76D42DBB">
            <w:pPr>
              <w:pStyle w:val="76"/>
              <w:rPr>
                <w:b/>
                <w:sz w:val="21"/>
              </w:rPr>
            </w:pPr>
          </w:p>
          <w:p w14:paraId="247FA248">
            <w:pPr>
              <w:pStyle w:val="76"/>
              <w:spacing w:before="248"/>
              <w:rPr>
                <w:b/>
                <w:sz w:val="21"/>
              </w:rPr>
            </w:pPr>
          </w:p>
          <w:p w14:paraId="36FBAD55">
            <w:pPr>
              <w:pStyle w:val="76"/>
              <w:spacing w:line="367" w:lineRule="auto"/>
              <w:ind w:left="304" w:right="133" w:hanging="159"/>
              <w:rPr>
                <w:sz w:val="21"/>
              </w:rPr>
            </w:pPr>
            <w:r>
              <w:rPr>
                <w:spacing w:val="-2"/>
                <w:sz w:val="21"/>
              </w:rPr>
              <w:t>施工方案和技术措施</w:t>
            </w:r>
            <w:r>
              <w:rPr>
                <w:rFonts w:hint="eastAsia"/>
                <w:spacing w:val="-2"/>
                <w:sz w:val="21"/>
              </w:rPr>
              <w:t xml:space="preserve"> </w:t>
            </w:r>
            <w:r>
              <w:rPr>
                <w:spacing w:val="-2"/>
                <w:sz w:val="21"/>
              </w:rPr>
              <w:t xml:space="preserve"> （5分）</w:t>
            </w:r>
          </w:p>
        </w:tc>
        <w:tc>
          <w:tcPr>
            <w:tcW w:w="6181" w:type="dxa"/>
          </w:tcPr>
          <w:p w14:paraId="30342DD7">
            <w:pPr>
              <w:pStyle w:val="76"/>
              <w:tabs>
                <w:tab w:val="left" w:pos="317"/>
              </w:tabs>
              <w:spacing w:line="364" w:lineRule="auto"/>
              <w:ind w:left="-107"/>
              <w:rPr>
                <w:spacing w:val="-2"/>
                <w:sz w:val="21"/>
              </w:rPr>
            </w:pPr>
            <w:r>
              <w:rPr>
                <w:rFonts w:hint="eastAsia"/>
                <w:spacing w:val="-2"/>
                <w:sz w:val="21"/>
              </w:rPr>
              <w:t>1</w:t>
            </w:r>
            <w:r>
              <w:rPr>
                <w:spacing w:val="-2"/>
                <w:sz w:val="21"/>
              </w:rPr>
              <w:t>.施工方法与措施合理可行、科学先进、各项交叉作业切合实际，得5分；</w:t>
            </w:r>
          </w:p>
          <w:p w14:paraId="3DB5BC0D">
            <w:pPr>
              <w:pStyle w:val="76"/>
              <w:tabs>
                <w:tab w:val="left" w:pos="317"/>
              </w:tabs>
              <w:spacing w:line="364" w:lineRule="auto"/>
              <w:ind w:left="-107" w:right="-206"/>
              <w:rPr>
                <w:spacing w:val="-2"/>
                <w:sz w:val="21"/>
              </w:rPr>
            </w:pPr>
            <w:r>
              <w:rPr>
                <w:rFonts w:hint="eastAsia"/>
                <w:spacing w:val="-2"/>
                <w:sz w:val="21"/>
              </w:rPr>
              <w:t>2</w:t>
            </w:r>
            <w:r>
              <w:rPr>
                <w:spacing w:val="-2"/>
                <w:sz w:val="21"/>
              </w:rPr>
              <w:t>.施工方法与措施基本合理，但方法与措施配合不协调，得3分；</w:t>
            </w:r>
          </w:p>
          <w:p w14:paraId="3FDA6F86">
            <w:pPr>
              <w:pStyle w:val="76"/>
              <w:tabs>
                <w:tab w:val="left" w:pos="317"/>
              </w:tabs>
              <w:spacing w:line="364" w:lineRule="auto"/>
              <w:ind w:left="-107" w:right="-206"/>
              <w:rPr>
                <w:spacing w:val="-2"/>
                <w:sz w:val="21"/>
              </w:rPr>
            </w:pPr>
            <w:r>
              <w:rPr>
                <w:rFonts w:hint="eastAsia"/>
                <w:spacing w:val="-2"/>
                <w:sz w:val="21"/>
              </w:rPr>
              <w:t>3</w:t>
            </w:r>
            <w:r>
              <w:rPr>
                <w:spacing w:val="-2"/>
                <w:sz w:val="21"/>
              </w:rPr>
              <w:t>.施工方法与措施内容不完整，针对性不强，虽然能够基本满足需要，但有很多方面需要进一步完善甚至重新考虑，得1分；</w:t>
            </w:r>
          </w:p>
          <w:p w14:paraId="4082AA4F">
            <w:pPr>
              <w:pStyle w:val="76"/>
              <w:tabs>
                <w:tab w:val="left" w:pos="317"/>
              </w:tabs>
              <w:spacing w:line="267" w:lineRule="exact"/>
              <w:ind w:left="-107" w:right="-206"/>
              <w:rPr>
                <w:spacing w:val="-2"/>
                <w:sz w:val="21"/>
              </w:rPr>
            </w:pPr>
            <w:r>
              <w:rPr>
                <w:spacing w:val="-2"/>
                <w:sz w:val="21"/>
              </w:rPr>
              <w:t>4.缺项得0分。</w:t>
            </w:r>
          </w:p>
        </w:tc>
      </w:tr>
      <w:tr w14:paraId="2449D9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681" w:hRule="atLeast"/>
        </w:trPr>
        <w:tc>
          <w:tcPr>
            <w:tcW w:w="1126" w:type="dxa"/>
            <w:vMerge w:val="continue"/>
            <w:tcBorders>
              <w:top w:val="nil"/>
            </w:tcBorders>
          </w:tcPr>
          <w:p w14:paraId="4EF3295B">
            <w:pPr>
              <w:rPr>
                <w:sz w:val="2"/>
                <w:szCs w:val="2"/>
              </w:rPr>
            </w:pPr>
          </w:p>
        </w:tc>
        <w:tc>
          <w:tcPr>
            <w:tcW w:w="1765" w:type="dxa"/>
          </w:tcPr>
          <w:p w14:paraId="58996829">
            <w:pPr>
              <w:pStyle w:val="76"/>
              <w:rPr>
                <w:b/>
                <w:sz w:val="21"/>
              </w:rPr>
            </w:pPr>
          </w:p>
          <w:p w14:paraId="223D6F26">
            <w:pPr>
              <w:pStyle w:val="76"/>
              <w:spacing w:before="47"/>
              <w:rPr>
                <w:b/>
                <w:sz w:val="21"/>
              </w:rPr>
            </w:pPr>
          </w:p>
          <w:p w14:paraId="4FA50016">
            <w:pPr>
              <w:pStyle w:val="76"/>
              <w:spacing w:line="364" w:lineRule="auto"/>
              <w:ind w:left="145" w:right="133"/>
              <w:jc w:val="center"/>
              <w:rPr>
                <w:sz w:val="21"/>
              </w:rPr>
            </w:pPr>
            <w:r>
              <w:rPr>
                <w:spacing w:val="-2"/>
                <w:sz w:val="21"/>
              </w:rPr>
              <w:t>劳动力投入计划及保证措施（5</w:t>
            </w:r>
            <w:r>
              <w:rPr>
                <w:spacing w:val="-6"/>
                <w:sz w:val="21"/>
              </w:rPr>
              <w:t>分）</w:t>
            </w:r>
          </w:p>
        </w:tc>
        <w:tc>
          <w:tcPr>
            <w:tcW w:w="6181" w:type="dxa"/>
          </w:tcPr>
          <w:p w14:paraId="36A9F76B">
            <w:pPr>
              <w:pStyle w:val="76"/>
              <w:tabs>
                <w:tab w:val="left" w:pos="317"/>
              </w:tabs>
              <w:spacing w:before="1" w:line="367" w:lineRule="auto"/>
              <w:ind w:left="-107" w:right="178"/>
              <w:rPr>
                <w:sz w:val="21"/>
              </w:rPr>
            </w:pPr>
            <w:r>
              <w:rPr>
                <w:rFonts w:hint="eastAsia"/>
                <w:spacing w:val="-2"/>
                <w:sz w:val="21"/>
              </w:rPr>
              <w:t>1</w:t>
            </w:r>
            <w:r>
              <w:rPr>
                <w:spacing w:val="-2"/>
                <w:sz w:val="21"/>
              </w:rPr>
              <w:t>.劳动力投入计划与进度计划呼应,完全满足施工需要,调配投入计划合理、准确得5分；</w:t>
            </w:r>
          </w:p>
          <w:p w14:paraId="4D961B29">
            <w:pPr>
              <w:pStyle w:val="76"/>
              <w:tabs>
                <w:tab w:val="left" w:pos="317"/>
              </w:tabs>
              <w:spacing w:line="364" w:lineRule="auto"/>
              <w:ind w:left="-107" w:right="181"/>
              <w:rPr>
                <w:sz w:val="21"/>
              </w:rPr>
            </w:pPr>
            <w:r>
              <w:rPr>
                <w:rFonts w:hint="eastAsia"/>
                <w:spacing w:val="-2"/>
                <w:sz w:val="21"/>
              </w:rPr>
              <w:t>2</w:t>
            </w:r>
            <w:r>
              <w:rPr>
                <w:spacing w:val="-2"/>
                <w:sz w:val="21"/>
              </w:rPr>
              <w:t>.劳动力投入计划与进度计划基本呼应,基本满足施工需要,调配投入计划基本合理得3分；</w:t>
            </w:r>
          </w:p>
          <w:p w14:paraId="7F58335F">
            <w:pPr>
              <w:pStyle w:val="76"/>
              <w:tabs>
                <w:tab w:val="left" w:pos="317"/>
              </w:tabs>
              <w:spacing w:line="267" w:lineRule="exact"/>
              <w:ind w:left="-107"/>
              <w:rPr>
                <w:sz w:val="21"/>
              </w:rPr>
            </w:pPr>
            <w:r>
              <w:rPr>
                <w:rFonts w:hint="eastAsia"/>
                <w:spacing w:val="-3"/>
                <w:sz w:val="21"/>
              </w:rPr>
              <w:t>3</w:t>
            </w:r>
            <w:r>
              <w:rPr>
                <w:spacing w:val="-3"/>
                <w:sz w:val="21"/>
              </w:rPr>
              <w:t>.劳动力投入计划与进度计划仅做简单描述，虽然能够基本满足</w:t>
            </w:r>
            <w:r>
              <w:rPr>
                <w:spacing w:val="-2"/>
                <w:sz w:val="21"/>
              </w:rPr>
              <w:t>需要，但有很多方面需要进一步完善甚至重新考虑，得1</w:t>
            </w:r>
            <w:r>
              <w:rPr>
                <w:spacing w:val="-6"/>
                <w:sz w:val="21"/>
              </w:rPr>
              <w:t>分；</w:t>
            </w:r>
          </w:p>
          <w:p w14:paraId="46862AC1">
            <w:pPr>
              <w:pStyle w:val="76"/>
              <w:tabs>
                <w:tab w:val="left" w:pos="317"/>
              </w:tabs>
              <w:spacing w:before="139"/>
              <w:ind w:left="-107"/>
              <w:rPr>
                <w:sz w:val="21"/>
              </w:rPr>
            </w:pPr>
            <w:r>
              <w:rPr>
                <w:spacing w:val="-2"/>
                <w:sz w:val="21"/>
              </w:rPr>
              <w:t>4.缺项得0</w:t>
            </w:r>
            <w:r>
              <w:rPr>
                <w:spacing w:val="-6"/>
                <w:sz w:val="21"/>
              </w:rPr>
              <w:t>分。</w:t>
            </w:r>
          </w:p>
        </w:tc>
      </w:tr>
      <w:tr w14:paraId="599CB8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41" w:hRule="atLeast"/>
        </w:trPr>
        <w:tc>
          <w:tcPr>
            <w:tcW w:w="1126" w:type="dxa"/>
            <w:vMerge w:val="continue"/>
            <w:tcBorders>
              <w:top w:val="nil"/>
            </w:tcBorders>
          </w:tcPr>
          <w:p w14:paraId="7FBF74AD">
            <w:pPr>
              <w:pStyle w:val="76"/>
              <w:tabs>
                <w:tab w:val="left" w:pos="317"/>
              </w:tabs>
              <w:spacing w:before="1" w:line="367" w:lineRule="auto"/>
              <w:ind w:left="-107" w:right="178"/>
              <w:rPr>
                <w:spacing w:val="-2"/>
                <w:sz w:val="21"/>
              </w:rPr>
            </w:pPr>
          </w:p>
        </w:tc>
        <w:tc>
          <w:tcPr>
            <w:tcW w:w="1765" w:type="dxa"/>
          </w:tcPr>
          <w:p w14:paraId="0CDD51D6">
            <w:pPr>
              <w:pStyle w:val="76"/>
              <w:tabs>
                <w:tab w:val="left" w:pos="317"/>
              </w:tabs>
              <w:spacing w:before="1" w:line="367" w:lineRule="auto"/>
              <w:ind w:left="-107" w:right="178"/>
              <w:rPr>
                <w:spacing w:val="-2"/>
                <w:sz w:val="21"/>
              </w:rPr>
            </w:pPr>
          </w:p>
          <w:p w14:paraId="09B85B99">
            <w:pPr>
              <w:pStyle w:val="76"/>
              <w:spacing w:before="47"/>
              <w:jc w:val="center"/>
              <w:rPr>
                <w:spacing w:val="-2"/>
                <w:sz w:val="21"/>
              </w:rPr>
            </w:pPr>
            <w:r>
              <w:rPr>
                <w:sz w:val="21"/>
              </w:rPr>
              <w:t>机械设备投入、进场计划及保证措施</w:t>
            </w:r>
            <w:r>
              <w:rPr>
                <w:rFonts w:hint="eastAsia"/>
                <w:sz w:val="21"/>
              </w:rPr>
              <w:t xml:space="preserve"> </w:t>
            </w:r>
            <w:r>
              <w:rPr>
                <w:sz w:val="21"/>
              </w:rPr>
              <w:t xml:space="preserve">        （5分）</w:t>
            </w:r>
          </w:p>
        </w:tc>
        <w:tc>
          <w:tcPr>
            <w:tcW w:w="6181" w:type="dxa"/>
          </w:tcPr>
          <w:p w14:paraId="7FAA18D7">
            <w:pPr>
              <w:pStyle w:val="76"/>
              <w:tabs>
                <w:tab w:val="left" w:pos="317"/>
              </w:tabs>
              <w:spacing w:before="1" w:line="367" w:lineRule="auto"/>
              <w:ind w:left="-107" w:right="178"/>
              <w:rPr>
                <w:spacing w:val="-2"/>
                <w:sz w:val="21"/>
              </w:rPr>
            </w:pPr>
            <w:r>
              <w:rPr>
                <w:rFonts w:hint="eastAsia"/>
                <w:spacing w:val="-2"/>
                <w:sz w:val="21"/>
              </w:rPr>
              <w:t>1</w:t>
            </w:r>
            <w:r>
              <w:rPr>
                <w:spacing w:val="-2"/>
                <w:sz w:val="21"/>
              </w:rPr>
              <w:t>.机械投入计划与进场计划进度呼应,完全满足安全技术规范和施工进度需要,调配投入计划合理、准确得5分；</w:t>
            </w:r>
          </w:p>
          <w:p w14:paraId="1329FA41">
            <w:pPr>
              <w:pStyle w:val="76"/>
              <w:tabs>
                <w:tab w:val="left" w:pos="317"/>
              </w:tabs>
              <w:spacing w:before="1" w:line="367" w:lineRule="auto"/>
              <w:ind w:left="-107" w:right="178"/>
              <w:rPr>
                <w:spacing w:val="-2"/>
                <w:sz w:val="21"/>
              </w:rPr>
            </w:pPr>
            <w:r>
              <w:rPr>
                <w:rFonts w:hint="eastAsia"/>
                <w:spacing w:val="-2"/>
                <w:sz w:val="21"/>
              </w:rPr>
              <w:t>2</w:t>
            </w:r>
            <w:r>
              <w:rPr>
                <w:spacing w:val="-2"/>
                <w:sz w:val="21"/>
              </w:rPr>
              <w:t>.机械投入计划与进场计划进度呼应,机械设备配置基本合理,基本满足安全技术规范和施工进度需要,调配投入计划基本合理得3分；</w:t>
            </w:r>
          </w:p>
        </w:tc>
      </w:tr>
    </w:tbl>
    <w:p w14:paraId="02E1DD74">
      <w:pPr>
        <w:pStyle w:val="76"/>
        <w:tabs>
          <w:tab w:val="left" w:pos="317"/>
        </w:tabs>
        <w:spacing w:before="1" w:line="367" w:lineRule="auto"/>
        <w:ind w:left="-107" w:right="178"/>
        <w:rPr>
          <w:spacing w:val="-2"/>
          <w:sz w:val="21"/>
        </w:rPr>
        <w:sectPr>
          <w:pgSz w:w="11920" w:h="16850"/>
          <w:pgMar w:top="1420" w:right="992" w:bottom="1100" w:left="1133" w:header="0" w:footer="913" w:gutter="0"/>
          <w:cols w:space="720" w:num="1"/>
        </w:sectPr>
      </w:pPr>
    </w:p>
    <w:tbl>
      <w:tblPr>
        <w:tblStyle w:val="46"/>
        <w:tblW w:w="0" w:type="auto"/>
        <w:tblInd w:w="31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126"/>
        <w:gridCol w:w="1765"/>
        <w:gridCol w:w="6181"/>
      </w:tblGrid>
      <w:tr w14:paraId="60AEAB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26" w:hRule="atLeast"/>
        </w:trPr>
        <w:tc>
          <w:tcPr>
            <w:tcW w:w="1126" w:type="dxa"/>
            <w:vMerge w:val="restart"/>
          </w:tcPr>
          <w:p w14:paraId="45780732">
            <w:pPr>
              <w:pStyle w:val="76"/>
              <w:tabs>
                <w:tab w:val="left" w:pos="317"/>
              </w:tabs>
              <w:spacing w:before="1" w:line="367" w:lineRule="auto"/>
              <w:ind w:left="-107" w:right="178"/>
              <w:rPr>
                <w:spacing w:val="-2"/>
                <w:sz w:val="21"/>
              </w:rPr>
            </w:pPr>
          </w:p>
        </w:tc>
        <w:tc>
          <w:tcPr>
            <w:tcW w:w="1765" w:type="dxa"/>
          </w:tcPr>
          <w:p w14:paraId="4BEF114C">
            <w:pPr>
              <w:pStyle w:val="76"/>
              <w:tabs>
                <w:tab w:val="left" w:pos="317"/>
              </w:tabs>
              <w:spacing w:before="1" w:line="367" w:lineRule="auto"/>
              <w:ind w:left="-107" w:right="178"/>
              <w:rPr>
                <w:spacing w:val="-2"/>
                <w:sz w:val="21"/>
              </w:rPr>
            </w:pPr>
          </w:p>
        </w:tc>
        <w:tc>
          <w:tcPr>
            <w:tcW w:w="6181" w:type="dxa"/>
          </w:tcPr>
          <w:p w14:paraId="04586CE2">
            <w:pPr>
              <w:pStyle w:val="76"/>
              <w:tabs>
                <w:tab w:val="left" w:pos="317"/>
              </w:tabs>
              <w:spacing w:before="1" w:line="367" w:lineRule="auto"/>
              <w:ind w:left="-107" w:right="178"/>
              <w:rPr>
                <w:spacing w:val="-2"/>
                <w:sz w:val="21"/>
              </w:rPr>
            </w:pPr>
            <w:r>
              <w:rPr>
                <w:rFonts w:hint="eastAsia"/>
                <w:spacing w:val="-2"/>
                <w:sz w:val="21"/>
              </w:rPr>
              <w:t>3</w:t>
            </w:r>
            <w:r>
              <w:rPr>
                <w:spacing w:val="-2"/>
                <w:sz w:val="21"/>
              </w:rPr>
              <w:t>.机械设备配置与进场计划进度仅做简单描述，虽然能够基本满</w:t>
            </w:r>
          </w:p>
          <w:p w14:paraId="10F947C0">
            <w:pPr>
              <w:pStyle w:val="76"/>
              <w:tabs>
                <w:tab w:val="left" w:pos="317"/>
              </w:tabs>
              <w:spacing w:before="1" w:line="367" w:lineRule="auto"/>
              <w:ind w:left="-107" w:right="178"/>
              <w:rPr>
                <w:spacing w:val="-2"/>
                <w:sz w:val="21"/>
              </w:rPr>
            </w:pPr>
            <w:r>
              <w:rPr>
                <w:spacing w:val="-2"/>
                <w:sz w:val="21"/>
              </w:rPr>
              <w:t>足需要，但有很多方面需要进一步完善甚至重新考虑，得1分</w:t>
            </w:r>
            <w:r>
              <w:rPr>
                <w:rFonts w:hint="eastAsia"/>
                <w:spacing w:val="-2"/>
                <w:sz w:val="21"/>
              </w:rPr>
              <w:t>；</w:t>
            </w:r>
          </w:p>
          <w:p w14:paraId="308E15C7">
            <w:pPr>
              <w:pStyle w:val="76"/>
              <w:tabs>
                <w:tab w:val="left" w:pos="317"/>
              </w:tabs>
              <w:spacing w:before="1" w:line="367" w:lineRule="auto"/>
              <w:ind w:left="-107" w:right="178"/>
              <w:rPr>
                <w:spacing w:val="-2"/>
                <w:sz w:val="21"/>
              </w:rPr>
            </w:pPr>
            <w:r>
              <w:rPr>
                <w:rFonts w:hint="eastAsia"/>
                <w:spacing w:val="-2"/>
                <w:sz w:val="21"/>
              </w:rPr>
              <w:t>4</w:t>
            </w:r>
            <w:r>
              <w:rPr>
                <w:spacing w:val="-2"/>
                <w:sz w:val="21"/>
              </w:rPr>
              <w:t>.缺项得0分。</w:t>
            </w:r>
          </w:p>
        </w:tc>
      </w:tr>
      <w:tr w14:paraId="7E6118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1" w:hRule="atLeast"/>
        </w:trPr>
        <w:tc>
          <w:tcPr>
            <w:tcW w:w="1126" w:type="dxa"/>
            <w:vMerge w:val="continue"/>
            <w:tcBorders>
              <w:top w:val="nil"/>
            </w:tcBorders>
          </w:tcPr>
          <w:p w14:paraId="79086013">
            <w:pPr>
              <w:rPr>
                <w:sz w:val="2"/>
                <w:szCs w:val="2"/>
              </w:rPr>
            </w:pPr>
          </w:p>
        </w:tc>
        <w:tc>
          <w:tcPr>
            <w:tcW w:w="1765" w:type="dxa"/>
          </w:tcPr>
          <w:p w14:paraId="389676C1">
            <w:pPr>
              <w:pStyle w:val="76"/>
              <w:rPr>
                <w:b/>
                <w:sz w:val="21"/>
              </w:rPr>
            </w:pPr>
          </w:p>
          <w:p w14:paraId="351C050D">
            <w:pPr>
              <w:pStyle w:val="76"/>
              <w:rPr>
                <w:b/>
                <w:sz w:val="21"/>
              </w:rPr>
            </w:pPr>
          </w:p>
          <w:p w14:paraId="2FC4AA36">
            <w:pPr>
              <w:pStyle w:val="76"/>
              <w:spacing w:before="68"/>
              <w:rPr>
                <w:b/>
                <w:sz w:val="21"/>
              </w:rPr>
            </w:pPr>
          </w:p>
          <w:p w14:paraId="22EFD444">
            <w:pPr>
              <w:pStyle w:val="76"/>
              <w:spacing w:before="1" w:line="364" w:lineRule="auto"/>
              <w:ind w:left="142" w:right="133" w:firstLine="3"/>
              <w:jc w:val="center"/>
              <w:rPr>
                <w:sz w:val="21"/>
              </w:rPr>
            </w:pPr>
            <w:r>
              <w:rPr>
                <w:spacing w:val="-2"/>
                <w:sz w:val="21"/>
              </w:rPr>
              <w:t>质量管理体系与措施</w:t>
            </w:r>
            <w:r>
              <w:rPr>
                <w:rFonts w:hint="eastAsia"/>
                <w:spacing w:val="-2"/>
                <w:sz w:val="21"/>
              </w:rPr>
              <w:t xml:space="preserve"> </w:t>
            </w:r>
            <w:r>
              <w:rPr>
                <w:spacing w:val="-2"/>
                <w:sz w:val="21"/>
              </w:rPr>
              <w:t xml:space="preserve">   （5分）</w:t>
            </w:r>
          </w:p>
        </w:tc>
        <w:tc>
          <w:tcPr>
            <w:tcW w:w="6181" w:type="dxa"/>
          </w:tcPr>
          <w:p w14:paraId="71D46230">
            <w:pPr>
              <w:pStyle w:val="76"/>
              <w:tabs>
                <w:tab w:val="left" w:pos="317"/>
              </w:tabs>
              <w:spacing w:before="1" w:line="364" w:lineRule="auto"/>
              <w:ind w:left="-107" w:right="176"/>
              <w:rPr>
                <w:sz w:val="21"/>
              </w:rPr>
            </w:pPr>
            <w:r>
              <w:rPr>
                <w:rFonts w:hint="eastAsia"/>
                <w:spacing w:val="-2"/>
                <w:sz w:val="21"/>
              </w:rPr>
              <w:t>1</w:t>
            </w:r>
            <w:r>
              <w:rPr>
                <w:spacing w:val="-2"/>
                <w:sz w:val="21"/>
              </w:rPr>
              <w:t>.组织机构形式合理，确保工程质量的技术组织措施切实可行，质量控制程序及质量保证体系完整，岗位职责分明得5分；</w:t>
            </w:r>
          </w:p>
          <w:p w14:paraId="34551D2A">
            <w:pPr>
              <w:pStyle w:val="76"/>
              <w:tabs>
                <w:tab w:val="left" w:pos="317"/>
              </w:tabs>
              <w:spacing w:line="364" w:lineRule="auto"/>
              <w:ind w:left="-107" w:right="-70"/>
              <w:rPr>
                <w:sz w:val="21"/>
              </w:rPr>
            </w:pPr>
            <w:r>
              <w:rPr>
                <w:rFonts w:hint="eastAsia"/>
                <w:spacing w:val="-2"/>
                <w:sz w:val="21"/>
              </w:rPr>
              <w:t>2</w:t>
            </w:r>
            <w:r>
              <w:rPr>
                <w:spacing w:val="-2"/>
                <w:sz w:val="21"/>
              </w:rPr>
              <w:t>.组织机构形式基本合理，确保工程质量的技术组织措施基本可行，质量控制程序及质量保证体系基本完整得3分；</w:t>
            </w:r>
          </w:p>
          <w:p w14:paraId="518B348F">
            <w:pPr>
              <w:pStyle w:val="76"/>
              <w:tabs>
                <w:tab w:val="left" w:pos="317"/>
              </w:tabs>
              <w:spacing w:line="364" w:lineRule="auto"/>
              <w:ind w:left="-107"/>
              <w:rPr>
                <w:sz w:val="21"/>
              </w:rPr>
            </w:pPr>
            <w:r>
              <w:rPr>
                <w:rFonts w:hint="eastAsia"/>
                <w:spacing w:val="-2"/>
                <w:sz w:val="21"/>
              </w:rPr>
              <w:t>3</w:t>
            </w:r>
            <w:r>
              <w:rPr>
                <w:spacing w:val="-2"/>
                <w:sz w:val="21"/>
              </w:rPr>
              <w:t>.技术组织措施及确保工程质量的技术组织措施，虽然能够基本满足需要，但有很多方面需要进一步完善甚至重新考虑，得1</w:t>
            </w:r>
            <w:r>
              <w:rPr>
                <w:spacing w:val="-6"/>
                <w:sz w:val="21"/>
              </w:rPr>
              <w:t>分；</w:t>
            </w:r>
          </w:p>
          <w:p w14:paraId="3F5D2CF4">
            <w:pPr>
              <w:pStyle w:val="76"/>
              <w:tabs>
                <w:tab w:val="left" w:pos="317"/>
              </w:tabs>
              <w:ind w:left="-107"/>
              <w:rPr>
                <w:sz w:val="21"/>
              </w:rPr>
            </w:pPr>
            <w:r>
              <w:rPr>
                <w:rFonts w:hint="eastAsia"/>
                <w:spacing w:val="-2"/>
                <w:sz w:val="21"/>
              </w:rPr>
              <w:t>4</w:t>
            </w:r>
            <w:r>
              <w:rPr>
                <w:spacing w:val="-2"/>
                <w:sz w:val="21"/>
              </w:rPr>
              <w:t>.缺项得0</w:t>
            </w:r>
            <w:r>
              <w:rPr>
                <w:spacing w:val="-6"/>
                <w:sz w:val="21"/>
              </w:rPr>
              <w:t>分。</w:t>
            </w:r>
          </w:p>
        </w:tc>
      </w:tr>
      <w:tr w14:paraId="4099AA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68" w:hRule="atLeast"/>
        </w:trPr>
        <w:tc>
          <w:tcPr>
            <w:tcW w:w="1126" w:type="dxa"/>
            <w:vMerge w:val="continue"/>
            <w:tcBorders>
              <w:top w:val="nil"/>
            </w:tcBorders>
          </w:tcPr>
          <w:p w14:paraId="7A2EE7E6">
            <w:pPr>
              <w:rPr>
                <w:sz w:val="2"/>
                <w:szCs w:val="2"/>
              </w:rPr>
            </w:pPr>
          </w:p>
        </w:tc>
        <w:tc>
          <w:tcPr>
            <w:tcW w:w="1765" w:type="dxa"/>
          </w:tcPr>
          <w:p w14:paraId="1341702A">
            <w:pPr>
              <w:pStyle w:val="76"/>
              <w:spacing w:before="22"/>
              <w:rPr>
                <w:b/>
                <w:sz w:val="21"/>
              </w:rPr>
            </w:pPr>
          </w:p>
          <w:p w14:paraId="41239207">
            <w:pPr>
              <w:pStyle w:val="76"/>
              <w:spacing w:before="1" w:line="364" w:lineRule="auto"/>
              <w:ind w:left="145" w:right="133"/>
              <w:jc w:val="center"/>
              <w:rPr>
                <w:sz w:val="21"/>
              </w:rPr>
            </w:pPr>
            <w:r>
              <w:rPr>
                <w:spacing w:val="-2"/>
                <w:sz w:val="21"/>
              </w:rPr>
              <w:t>对本工程施工难点、关键点的分析和对应的处理措施以及保证连续施工的措施</w:t>
            </w:r>
          </w:p>
          <w:p w14:paraId="611C8CCA">
            <w:pPr>
              <w:pStyle w:val="76"/>
              <w:spacing w:line="267" w:lineRule="exact"/>
              <w:jc w:val="center"/>
              <w:rPr>
                <w:sz w:val="21"/>
              </w:rPr>
            </w:pPr>
            <w:r>
              <w:rPr>
                <w:spacing w:val="-2"/>
                <w:sz w:val="21"/>
              </w:rPr>
              <w:t>（5分</w:t>
            </w:r>
            <w:r>
              <w:rPr>
                <w:spacing w:val="-10"/>
                <w:sz w:val="21"/>
              </w:rPr>
              <w:t>）</w:t>
            </w:r>
          </w:p>
        </w:tc>
        <w:tc>
          <w:tcPr>
            <w:tcW w:w="6181" w:type="dxa"/>
          </w:tcPr>
          <w:p w14:paraId="1F501ECE">
            <w:pPr>
              <w:pStyle w:val="76"/>
              <w:tabs>
                <w:tab w:val="left" w:pos="317"/>
              </w:tabs>
              <w:spacing w:before="1" w:line="364" w:lineRule="auto"/>
              <w:ind w:left="-107" w:right="176"/>
              <w:rPr>
                <w:sz w:val="21"/>
              </w:rPr>
            </w:pPr>
            <w:r>
              <w:rPr>
                <w:rFonts w:hint="eastAsia"/>
                <w:spacing w:val="-2"/>
                <w:sz w:val="21"/>
              </w:rPr>
              <w:t>1</w:t>
            </w:r>
            <w:r>
              <w:rPr>
                <w:spacing w:val="-2"/>
                <w:sz w:val="21"/>
              </w:rPr>
              <w:t>.对本工程施工难点、关键点的分析和对应的处理措施以及保证连续施工的措施考虑完整全面、到位、针对性较强得5分；</w:t>
            </w:r>
          </w:p>
          <w:p w14:paraId="0C373F88">
            <w:pPr>
              <w:pStyle w:val="76"/>
              <w:tabs>
                <w:tab w:val="left" w:pos="317"/>
              </w:tabs>
              <w:spacing w:line="367" w:lineRule="auto"/>
              <w:ind w:left="-107" w:right="176"/>
              <w:rPr>
                <w:sz w:val="21"/>
              </w:rPr>
            </w:pPr>
            <w:r>
              <w:rPr>
                <w:rFonts w:hint="eastAsia"/>
                <w:spacing w:val="-2"/>
                <w:sz w:val="21"/>
              </w:rPr>
              <w:t>2</w:t>
            </w:r>
            <w:r>
              <w:rPr>
                <w:spacing w:val="-2"/>
                <w:sz w:val="21"/>
              </w:rPr>
              <w:t>.对本工程施工难点、关键点的分析和对应的处理措施以及保证连续施工的措施基本完整、基本合理可行得3分；</w:t>
            </w:r>
          </w:p>
          <w:p w14:paraId="3D788FD8">
            <w:pPr>
              <w:pStyle w:val="76"/>
              <w:tabs>
                <w:tab w:val="left" w:pos="317"/>
              </w:tabs>
              <w:spacing w:line="364" w:lineRule="auto"/>
              <w:ind w:left="-107" w:right="176"/>
              <w:jc w:val="both"/>
              <w:rPr>
                <w:sz w:val="21"/>
              </w:rPr>
            </w:pPr>
            <w:r>
              <w:rPr>
                <w:rFonts w:hint="eastAsia"/>
                <w:spacing w:val="-2"/>
                <w:sz w:val="21"/>
              </w:rPr>
              <w:t>3</w:t>
            </w:r>
            <w:r>
              <w:rPr>
                <w:spacing w:val="-2"/>
                <w:sz w:val="21"/>
              </w:rPr>
              <w:t>.对本工程施工难点、关键点的分析和对应的处理措施以及保证连续施工的措施仅做简单描述，虽然能够基本满足需要，但有很多方面需要进一步完善甚至重新考虑，得1分；</w:t>
            </w:r>
          </w:p>
          <w:p w14:paraId="1893CAB5">
            <w:pPr>
              <w:pStyle w:val="76"/>
              <w:tabs>
                <w:tab w:val="left" w:pos="317"/>
              </w:tabs>
              <w:ind w:left="-107"/>
              <w:rPr>
                <w:sz w:val="21"/>
              </w:rPr>
            </w:pPr>
            <w:r>
              <w:rPr>
                <w:rFonts w:hint="eastAsia"/>
                <w:spacing w:val="-2"/>
                <w:sz w:val="21"/>
              </w:rPr>
              <w:t>4</w:t>
            </w:r>
            <w:r>
              <w:rPr>
                <w:spacing w:val="-2"/>
                <w:sz w:val="21"/>
              </w:rPr>
              <w:t>.缺项得0</w:t>
            </w:r>
            <w:r>
              <w:rPr>
                <w:spacing w:val="-6"/>
                <w:sz w:val="21"/>
              </w:rPr>
              <w:t>分。</w:t>
            </w:r>
          </w:p>
        </w:tc>
      </w:tr>
      <w:tr w14:paraId="044F9D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77" w:hRule="atLeast"/>
        </w:trPr>
        <w:tc>
          <w:tcPr>
            <w:tcW w:w="1126" w:type="dxa"/>
            <w:vMerge w:val="continue"/>
            <w:tcBorders>
              <w:top w:val="nil"/>
            </w:tcBorders>
          </w:tcPr>
          <w:p w14:paraId="691C1AD9">
            <w:pPr>
              <w:rPr>
                <w:sz w:val="2"/>
                <w:szCs w:val="2"/>
              </w:rPr>
            </w:pPr>
          </w:p>
        </w:tc>
        <w:tc>
          <w:tcPr>
            <w:tcW w:w="1765" w:type="dxa"/>
          </w:tcPr>
          <w:p w14:paraId="29A483B1">
            <w:pPr>
              <w:pStyle w:val="76"/>
              <w:rPr>
                <w:b/>
                <w:sz w:val="21"/>
              </w:rPr>
            </w:pPr>
          </w:p>
          <w:p w14:paraId="5EE9C193">
            <w:pPr>
              <w:pStyle w:val="76"/>
              <w:rPr>
                <w:b/>
                <w:sz w:val="21"/>
              </w:rPr>
            </w:pPr>
          </w:p>
          <w:p w14:paraId="53599E5A">
            <w:pPr>
              <w:pStyle w:val="76"/>
              <w:spacing w:before="272"/>
              <w:rPr>
                <w:b/>
                <w:sz w:val="21"/>
              </w:rPr>
            </w:pPr>
          </w:p>
          <w:p w14:paraId="5CB8C292">
            <w:pPr>
              <w:pStyle w:val="76"/>
              <w:spacing w:before="1"/>
              <w:ind w:left="10"/>
              <w:jc w:val="center"/>
              <w:rPr>
                <w:sz w:val="21"/>
              </w:rPr>
            </w:pPr>
            <w:r>
              <w:rPr>
                <w:spacing w:val="-4"/>
                <w:sz w:val="21"/>
              </w:rPr>
              <w:t>工期保证措施</w:t>
            </w:r>
          </w:p>
          <w:p w14:paraId="2DD7F64D">
            <w:pPr>
              <w:pStyle w:val="76"/>
              <w:spacing w:before="139"/>
              <w:ind w:left="5"/>
              <w:jc w:val="center"/>
              <w:rPr>
                <w:sz w:val="21"/>
              </w:rPr>
            </w:pPr>
            <w:r>
              <w:rPr>
                <w:spacing w:val="-2"/>
                <w:sz w:val="21"/>
              </w:rPr>
              <w:t>（5分</w:t>
            </w:r>
            <w:r>
              <w:rPr>
                <w:spacing w:val="-10"/>
                <w:sz w:val="21"/>
              </w:rPr>
              <w:t>）</w:t>
            </w:r>
          </w:p>
        </w:tc>
        <w:tc>
          <w:tcPr>
            <w:tcW w:w="6181" w:type="dxa"/>
          </w:tcPr>
          <w:p w14:paraId="71469CFA">
            <w:pPr>
              <w:pStyle w:val="76"/>
              <w:tabs>
                <w:tab w:val="left" w:pos="317"/>
              </w:tabs>
              <w:spacing w:before="1" w:line="364" w:lineRule="auto"/>
              <w:ind w:left="-107" w:right="176"/>
              <w:rPr>
                <w:sz w:val="21"/>
              </w:rPr>
            </w:pPr>
            <w:r>
              <w:rPr>
                <w:rFonts w:hint="eastAsia"/>
                <w:spacing w:val="-2"/>
                <w:sz w:val="21"/>
              </w:rPr>
              <w:t>1</w:t>
            </w:r>
            <w:r>
              <w:rPr>
                <w:spacing w:val="-2"/>
                <w:sz w:val="21"/>
              </w:rPr>
              <w:t>.施工工期满足磋商文件要求，施工进度计划合理并切实可行，有图表和文字说明，工期保证措施具体可行得5分；</w:t>
            </w:r>
          </w:p>
          <w:p w14:paraId="335ECD51">
            <w:pPr>
              <w:pStyle w:val="76"/>
              <w:tabs>
                <w:tab w:val="left" w:pos="317"/>
              </w:tabs>
              <w:spacing w:line="367" w:lineRule="auto"/>
              <w:ind w:left="-107" w:right="176"/>
              <w:rPr>
                <w:sz w:val="21"/>
              </w:rPr>
            </w:pPr>
            <w:r>
              <w:rPr>
                <w:rFonts w:hint="eastAsia"/>
                <w:spacing w:val="-2"/>
                <w:sz w:val="21"/>
              </w:rPr>
              <w:t>2</w:t>
            </w:r>
            <w:r>
              <w:rPr>
                <w:spacing w:val="-2"/>
                <w:sz w:val="21"/>
              </w:rPr>
              <w:t>.施工工期满足磋商文件要求，施工进度计划基本合理并切实可行，有图表和文字说明，工期保证措施具体可行得3分；</w:t>
            </w:r>
          </w:p>
          <w:p w14:paraId="793281F8">
            <w:pPr>
              <w:pStyle w:val="76"/>
              <w:tabs>
                <w:tab w:val="left" w:pos="317"/>
              </w:tabs>
              <w:spacing w:line="364" w:lineRule="auto"/>
              <w:ind w:left="-107" w:right="176"/>
              <w:jc w:val="both"/>
              <w:rPr>
                <w:sz w:val="21"/>
              </w:rPr>
            </w:pPr>
            <w:r>
              <w:rPr>
                <w:rFonts w:hint="eastAsia"/>
                <w:spacing w:val="-2"/>
                <w:sz w:val="21"/>
              </w:rPr>
              <w:t>3</w:t>
            </w:r>
            <w:r>
              <w:rPr>
                <w:spacing w:val="-2"/>
                <w:sz w:val="21"/>
              </w:rPr>
              <w:t>.施工工期满足磋商文件要求，施工进度计划基本合理并切实可行，图表和文字说明不清晰或无图表和文字说明，工期保证措施简单，虽然能够基本满足需要，但有很多方面需要进一步完善甚至重新考虑，得1分；</w:t>
            </w:r>
          </w:p>
          <w:p w14:paraId="243D8476">
            <w:pPr>
              <w:pStyle w:val="76"/>
              <w:tabs>
                <w:tab w:val="left" w:pos="317"/>
              </w:tabs>
              <w:spacing w:line="268" w:lineRule="exact"/>
              <w:ind w:left="-107"/>
              <w:rPr>
                <w:sz w:val="21"/>
              </w:rPr>
            </w:pPr>
            <w:r>
              <w:rPr>
                <w:rFonts w:hint="eastAsia"/>
                <w:spacing w:val="-2"/>
                <w:sz w:val="21"/>
              </w:rPr>
              <w:t>4</w:t>
            </w:r>
            <w:r>
              <w:rPr>
                <w:spacing w:val="-2"/>
                <w:sz w:val="21"/>
              </w:rPr>
              <w:t>.缺项得0</w:t>
            </w:r>
            <w:r>
              <w:rPr>
                <w:spacing w:val="-6"/>
                <w:sz w:val="21"/>
              </w:rPr>
              <w:t>分。</w:t>
            </w:r>
          </w:p>
        </w:tc>
      </w:tr>
      <w:tr w14:paraId="5872D9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49" w:hRule="atLeast"/>
        </w:trPr>
        <w:tc>
          <w:tcPr>
            <w:tcW w:w="1126" w:type="dxa"/>
            <w:vMerge w:val="continue"/>
            <w:tcBorders>
              <w:top w:val="nil"/>
            </w:tcBorders>
          </w:tcPr>
          <w:p w14:paraId="33A99F8F">
            <w:pPr>
              <w:rPr>
                <w:sz w:val="2"/>
                <w:szCs w:val="2"/>
              </w:rPr>
            </w:pPr>
          </w:p>
        </w:tc>
        <w:tc>
          <w:tcPr>
            <w:tcW w:w="1765" w:type="dxa"/>
          </w:tcPr>
          <w:p w14:paraId="63F16383">
            <w:pPr>
              <w:pStyle w:val="76"/>
              <w:spacing w:before="226"/>
              <w:rPr>
                <w:b/>
                <w:sz w:val="21"/>
              </w:rPr>
            </w:pPr>
          </w:p>
          <w:p w14:paraId="0462B8F4">
            <w:pPr>
              <w:pStyle w:val="76"/>
              <w:spacing w:before="1" w:line="364" w:lineRule="auto"/>
              <w:ind w:left="145" w:right="133"/>
              <w:jc w:val="center"/>
              <w:rPr>
                <w:sz w:val="21"/>
              </w:rPr>
            </w:pPr>
            <w:r>
              <w:rPr>
                <w:spacing w:val="-2"/>
                <w:sz w:val="21"/>
              </w:rPr>
              <w:t>文明、环保管理体系与措施（5</w:t>
            </w:r>
            <w:r>
              <w:rPr>
                <w:spacing w:val="-6"/>
                <w:sz w:val="21"/>
              </w:rPr>
              <w:t>分）</w:t>
            </w:r>
          </w:p>
        </w:tc>
        <w:tc>
          <w:tcPr>
            <w:tcW w:w="6181" w:type="dxa"/>
          </w:tcPr>
          <w:p w14:paraId="5B287448">
            <w:pPr>
              <w:pStyle w:val="76"/>
              <w:tabs>
                <w:tab w:val="left" w:pos="317"/>
              </w:tabs>
              <w:spacing w:before="1" w:line="364" w:lineRule="auto"/>
              <w:ind w:left="-107" w:right="176"/>
              <w:rPr>
                <w:spacing w:val="-2"/>
                <w:sz w:val="21"/>
              </w:rPr>
            </w:pPr>
            <w:r>
              <w:rPr>
                <w:rFonts w:hint="eastAsia"/>
                <w:spacing w:val="-2"/>
                <w:sz w:val="21"/>
              </w:rPr>
              <w:t>1</w:t>
            </w:r>
            <w:r>
              <w:rPr>
                <w:spacing w:val="-2"/>
                <w:sz w:val="21"/>
              </w:rPr>
              <w:t>.文明标准化施工现场目标明确,符合有关文明施工、健康卫生规定的，确保文明、环保施工的技术组织措施科学、合理、可行得5分；</w:t>
            </w:r>
          </w:p>
          <w:p w14:paraId="3DB91F44">
            <w:pPr>
              <w:pStyle w:val="76"/>
              <w:tabs>
                <w:tab w:val="left" w:pos="317"/>
              </w:tabs>
              <w:spacing w:before="1" w:line="364" w:lineRule="auto"/>
              <w:ind w:left="-107" w:right="176"/>
              <w:rPr>
                <w:sz w:val="21"/>
              </w:rPr>
            </w:pPr>
            <w:r>
              <w:rPr>
                <w:rFonts w:hint="eastAsia"/>
                <w:spacing w:val="-2"/>
                <w:sz w:val="21"/>
              </w:rPr>
              <w:t>2</w:t>
            </w:r>
            <w:r>
              <w:rPr>
                <w:spacing w:val="-2"/>
                <w:sz w:val="21"/>
              </w:rPr>
              <w:t>.文明标准化施工现场目标基本明确,符合有关文明施工、健康卫生规定的，确保文明、环保施工的技术组织措施可行得3分；</w:t>
            </w:r>
          </w:p>
        </w:tc>
      </w:tr>
    </w:tbl>
    <w:p w14:paraId="5CB07686">
      <w:pPr>
        <w:pStyle w:val="76"/>
        <w:spacing w:line="400" w:lineRule="atLeast"/>
        <w:rPr>
          <w:sz w:val="21"/>
        </w:rPr>
        <w:sectPr>
          <w:type w:val="continuous"/>
          <w:pgSz w:w="11920" w:h="16850"/>
          <w:pgMar w:top="1460" w:right="992" w:bottom="1100" w:left="1133" w:header="0" w:footer="913" w:gutter="0"/>
          <w:cols w:space="720" w:num="1"/>
        </w:sectPr>
      </w:pPr>
    </w:p>
    <w:tbl>
      <w:tblPr>
        <w:tblStyle w:val="46"/>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126"/>
        <w:gridCol w:w="1765"/>
        <w:gridCol w:w="6181"/>
      </w:tblGrid>
      <w:tr w14:paraId="2E5CD2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34" w:hRule="atLeast"/>
          <w:jc w:val="center"/>
        </w:trPr>
        <w:tc>
          <w:tcPr>
            <w:tcW w:w="1126" w:type="dxa"/>
            <w:vMerge w:val="restart"/>
          </w:tcPr>
          <w:p w14:paraId="3407FD00">
            <w:pPr>
              <w:pStyle w:val="76"/>
              <w:rPr>
                <w:sz w:val="20"/>
              </w:rPr>
            </w:pPr>
          </w:p>
        </w:tc>
        <w:tc>
          <w:tcPr>
            <w:tcW w:w="1765" w:type="dxa"/>
          </w:tcPr>
          <w:p w14:paraId="612485D1">
            <w:pPr>
              <w:pStyle w:val="76"/>
              <w:rPr>
                <w:sz w:val="20"/>
              </w:rPr>
            </w:pPr>
          </w:p>
        </w:tc>
        <w:tc>
          <w:tcPr>
            <w:tcW w:w="6181" w:type="dxa"/>
          </w:tcPr>
          <w:p w14:paraId="324645D8">
            <w:pPr>
              <w:pStyle w:val="76"/>
              <w:tabs>
                <w:tab w:val="left" w:pos="317"/>
              </w:tabs>
              <w:spacing w:before="1" w:line="364" w:lineRule="auto"/>
              <w:ind w:left="-107" w:right="176"/>
              <w:rPr>
                <w:spacing w:val="-2"/>
                <w:sz w:val="21"/>
              </w:rPr>
            </w:pPr>
            <w:r>
              <w:rPr>
                <w:spacing w:val="-2"/>
                <w:sz w:val="21"/>
              </w:rPr>
              <w:t>3.文明标准化施工现场目标不明确,有关文明施工、健康卫生规定的，文明、环保施工的技术组织措施，虽然能够基本满足需要，但有很多方面需要进一步完善甚至重新考虑，得1分；</w:t>
            </w:r>
          </w:p>
          <w:p w14:paraId="52714B6F">
            <w:pPr>
              <w:pStyle w:val="76"/>
              <w:tabs>
                <w:tab w:val="left" w:pos="317"/>
              </w:tabs>
              <w:spacing w:before="1" w:line="364" w:lineRule="auto"/>
              <w:ind w:left="-107" w:right="176"/>
              <w:rPr>
                <w:sz w:val="21"/>
              </w:rPr>
            </w:pPr>
            <w:r>
              <w:rPr>
                <w:rFonts w:hint="eastAsia"/>
                <w:spacing w:val="-2"/>
                <w:sz w:val="21"/>
              </w:rPr>
              <w:t>4</w:t>
            </w:r>
            <w:r>
              <w:rPr>
                <w:spacing w:val="-2"/>
                <w:sz w:val="21"/>
              </w:rPr>
              <w:t>.缺项得0</w:t>
            </w:r>
            <w:r>
              <w:rPr>
                <w:spacing w:val="-6"/>
                <w:sz w:val="21"/>
              </w:rPr>
              <w:t>分。</w:t>
            </w:r>
          </w:p>
        </w:tc>
      </w:tr>
      <w:tr w14:paraId="3C16A5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5" w:hRule="atLeast"/>
          <w:jc w:val="center"/>
        </w:trPr>
        <w:tc>
          <w:tcPr>
            <w:tcW w:w="1126" w:type="dxa"/>
            <w:vMerge w:val="continue"/>
            <w:tcBorders>
              <w:top w:val="nil"/>
            </w:tcBorders>
          </w:tcPr>
          <w:p w14:paraId="19882E14">
            <w:pPr>
              <w:rPr>
                <w:sz w:val="2"/>
                <w:szCs w:val="2"/>
              </w:rPr>
            </w:pPr>
          </w:p>
        </w:tc>
        <w:tc>
          <w:tcPr>
            <w:tcW w:w="1765" w:type="dxa"/>
          </w:tcPr>
          <w:p w14:paraId="5D8CE932">
            <w:pPr>
              <w:pStyle w:val="76"/>
              <w:rPr>
                <w:b/>
                <w:sz w:val="21"/>
              </w:rPr>
            </w:pPr>
          </w:p>
          <w:p w14:paraId="23EFDBDC">
            <w:pPr>
              <w:pStyle w:val="76"/>
              <w:rPr>
                <w:b/>
                <w:sz w:val="21"/>
              </w:rPr>
            </w:pPr>
          </w:p>
          <w:p w14:paraId="29F95E1C">
            <w:pPr>
              <w:pStyle w:val="76"/>
              <w:spacing w:before="68"/>
              <w:rPr>
                <w:b/>
                <w:sz w:val="21"/>
              </w:rPr>
            </w:pPr>
          </w:p>
          <w:p w14:paraId="3D77207E">
            <w:pPr>
              <w:pStyle w:val="76"/>
              <w:spacing w:before="1"/>
              <w:ind w:left="10"/>
              <w:jc w:val="center"/>
              <w:rPr>
                <w:sz w:val="21"/>
              </w:rPr>
            </w:pPr>
            <w:r>
              <w:rPr>
                <w:spacing w:val="-4"/>
                <w:sz w:val="21"/>
              </w:rPr>
              <w:t>风险管理措施</w:t>
            </w:r>
          </w:p>
          <w:p w14:paraId="4F354F4D">
            <w:pPr>
              <w:pStyle w:val="76"/>
              <w:spacing w:before="139"/>
              <w:ind w:left="5"/>
              <w:jc w:val="center"/>
              <w:rPr>
                <w:sz w:val="21"/>
              </w:rPr>
            </w:pPr>
            <w:r>
              <w:rPr>
                <w:spacing w:val="-2"/>
                <w:sz w:val="21"/>
              </w:rPr>
              <w:t>（5分</w:t>
            </w:r>
            <w:r>
              <w:rPr>
                <w:spacing w:val="-10"/>
                <w:sz w:val="21"/>
              </w:rPr>
              <w:t>）</w:t>
            </w:r>
          </w:p>
        </w:tc>
        <w:tc>
          <w:tcPr>
            <w:tcW w:w="6181" w:type="dxa"/>
          </w:tcPr>
          <w:p w14:paraId="60BFDA20">
            <w:pPr>
              <w:pStyle w:val="76"/>
              <w:tabs>
                <w:tab w:val="left" w:pos="317"/>
              </w:tabs>
              <w:spacing w:before="1" w:line="367" w:lineRule="auto"/>
              <w:ind w:left="-107" w:right="178"/>
              <w:jc w:val="both"/>
              <w:rPr>
                <w:sz w:val="21"/>
              </w:rPr>
            </w:pPr>
            <w:r>
              <w:rPr>
                <w:rFonts w:hint="eastAsia"/>
                <w:spacing w:val="-2"/>
                <w:sz w:val="21"/>
              </w:rPr>
              <w:t>1</w:t>
            </w:r>
            <w:r>
              <w:rPr>
                <w:spacing w:val="-2"/>
                <w:sz w:val="21"/>
              </w:rPr>
              <w:t>.防控管理措施齐全,风险预控符合规范要求,风险控制要点</w:t>
            </w:r>
            <w:r>
              <w:rPr>
                <w:sz w:val="21"/>
              </w:rPr>
              <w:t>定位准确,各阶段风险控制及应急措施得力得5 分；</w:t>
            </w:r>
          </w:p>
          <w:p w14:paraId="52D54E5E">
            <w:pPr>
              <w:pStyle w:val="76"/>
              <w:tabs>
                <w:tab w:val="left" w:pos="317"/>
              </w:tabs>
              <w:spacing w:line="364" w:lineRule="auto"/>
              <w:ind w:left="-107" w:right="178"/>
              <w:jc w:val="both"/>
              <w:rPr>
                <w:sz w:val="21"/>
              </w:rPr>
            </w:pPr>
            <w:r>
              <w:rPr>
                <w:rFonts w:hint="eastAsia"/>
                <w:spacing w:val="-2"/>
                <w:sz w:val="21"/>
              </w:rPr>
              <w:t>2</w:t>
            </w:r>
            <w:r>
              <w:rPr>
                <w:spacing w:val="-2"/>
                <w:sz w:val="21"/>
              </w:rPr>
              <w:t>.防控管理措施基本齐全,风险预控基本符合规范要求,风险控制要点定位基本准确,各阶段风险控制及应急措施基本得力得3</w:t>
            </w:r>
            <w:r>
              <w:rPr>
                <w:spacing w:val="-6"/>
                <w:sz w:val="21"/>
              </w:rPr>
              <w:t>分；</w:t>
            </w:r>
          </w:p>
          <w:p w14:paraId="2D4EF3A9">
            <w:pPr>
              <w:pStyle w:val="76"/>
              <w:tabs>
                <w:tab w:val="left" w:pos="317"/>
              </w:tabs>
              <w:spacing w:line="367" w:lineRule="auto"/>
              <w:ind w:left="-107" w:right="176"/>
              <w:rPr>
                <w:sz w:val="21"/>
              </w:rPr>
            </w:pPr>
            <w:r>
              <w:rPr>
                <w:rFonts w:hint="eastAsia"/>
                <w:spacing w:val="-2"/>
                <w:sz w:val="21"/>
              </w:rPr>
              <w:t>3</w:t>
            </w:r>
            <w:r>
              <w:rPr>
                <w:spacing w:val="-2"/>
                <w:sz w:val="21"/>
              </w:rPr>
              <w:t>.防控管理措施，虽然能够基本满足需要，但有很多方面需要进一步完善甚至重新考虑，得1分；</w:t>
            </w:r>
          </w:p>
          <w:p w14:paraId="3B02A0AA">
            <w:pPr>
              <w:pStyle w:val="76"/>
              <w:tabs>
                <w:tab w:val="left" w:pos="317"/>
              </w:tabs>
              <w:spacing w:line="264" w:lineRule="exact"/>
              <w:ind w:left="-107"/>
              <w:rPr>
                <w:sz w:val="21"/>
              </w:rPr>
            </w:pPr>
            <w:r>
              <w:rPr>
                <w:rFonts w:hint="eastAsia"/>
                <w:spacing w:val="-2"/>
                <w:sz w:val="21"/>
              </w:rPr>
              <w:t>4</w:t>
            </w:r>
            <w:r>
              <w:rPr>
                <w:spacing w:val="-2"/>
                <w:sz w:val="21"/>
              </w:rPr>
              <w:t>.缺项得0</w:t>
            </w:r>
            <w:r>
              <w:rPr>
                <w:spacing w:val="-6"/>
                <w:sz w:val="21"/>
              </w:rPr>
              <w:t>分。</w:t>
            </w:r>
          </w:p>
        </w:tc>
      </w:tr>
      <w:tr w14:paraId="386B48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42" w:hRule="atLeast"/>
          <w:jc w:val="center"/>
        </w:trPr>
        <w:tc>
          <w:tcPr>
            <w:tcW w:w="1126" w:type="dxa"/>
            <w:vMerge w:val="continue"/>
            <w:tcBorders>
              <w:top w:val="nil"/>
            </w:tcBorders>
          </w:tcPr>
          <w:p w14:paraId="16CCA31D">
            <w:pPr>
              <w:rPr>
                <w:sz w:val="2"/>
                <w:szCs w:val="2"/>
              </w:rPr>
            </w:pPr>
          </w:p>
        </w:tc>
        <w:tc>
          <w:tcPr>
            <w:tcW w:w="1765" w:type="dxa"/>
          </w:tcPr>
          <w:p w14:paraId="6497ADFB">
            <w:pPr>
              <w:pStyle w:val="76"/>
              <w:spacing w:before="22"/>
              <w:rPr>
                <w:b/>
                <w:sz w:val="21"/>
              </w:rPr>
            </w:pPr>
          </w:p>
          <w:p w14:paraId="56C0462B">
            <w:pPr>
              <w:pStyle w:val="76"/>
              <w:spacing w:before="1" w:line="367" w:lineRule="auto"/>
              <w:ind w:left="145" w:right="133"/>
              <w:jc w:val="center"/>
              <w:rPr>
                <w:sz w:val="21"/>
              </w:rPr>
            </w:pPr>
            <w:r>
              <w:rPr>
                <w:spacing w:val="-2"/>
                <w:sz w:val="21"/>
              </w:rPr>
              <w:t>施工周边环境保护的服务承诺</w:t>
            </w:r>
          </w:p>
          <w:p w14:paraId="136DD104">
            <w:pPr>
              <w:pStyle w:val="76"/>
              <w:spacing w:line="264" w:lineRule="exact"/>
              <w:ind w:left="5"/>
              <w:jc w:val="center"/>
              <w:rPr>
                <w:sz w:val="21"/>
              </w:rPr>
            </w:pPr>
            <w:r>
              <w:rPr>
                <w:spacing w:val="-2"/>
                <w:sz w:val="21"/>
              </w:rPr>
              <w:t>（5分</w:t>
            </w:r>
            <w:r>
              <w:rPr>
                <w:spacing w:val="-10"/>
                <w:sz w:val="21"/>
              </w:rPr>
              <w:t>）</w:t>
            </w:r>
          </w:p>
        </w:tc>
        <w:tc>
          <w:tcPr>
            <w:tcW w:w="6181" w:type="dxa"/>
          </w:tcPr>
          <w:p w14:paraId="644013DF">
            <w:pPr>
              <w:pStyle w:val="76"/>
              <w:tabs>
                <w:tab w:val="left" w:pos="317"/>
              </w:tabs>
              <w:spacing w:before="1"/>
              <w:rPr>
                <w:sz w:val="21"/>
              </w:rPr>
            </w:pPr>
            <w:r>
              <w:rPr>
                <w:rFonts w:hint="eastAsia"/>
                <w:spacing w:val="-2"/>
                <w:sz w:val="21"/>
              </w:rPr>
              <w:t>1</w:t>
            </w:r>
            <w:r>
              <w:rPr>
                <w:spacing w:val="-2"/>
                <w:sz w:val="21"/>
              </w:rPr>
              <w:t>.对施工周边环境保护的承诺，合理可行得5</w:t>
            </w:r>
            <w:r>
              <w:rPr>
                <w:spacing w:val="-6"/>
                <w:sz w:val="21"/>
              </w:rPr>
              <w:t>分；</w:t>
            </w:r>
          </w:p>
          <w:p w14:paraId="7291E8F8">
            <w:pPr>
              <w:pStyle w:val="76"/>
              <w:tabs>
                <w:tab w:val="left" w:pos="317"/>
              </w:tabs>
              <w:spacing w:before="139"/>
              <w:rPr>
                <w:sz w:val="21"/>
              </w:rPr>
            </w:pPr>
            <w:r>
              <w:rPr>
                <w:rFonts w:hint="eastAsia"/>
                <w:spacing w:val="-2"/>
                <w:sz w:val="21"/>
              </w:rPr>
              <w:t>2</w:t>
            </w:r>
            <w:r>
              <w:rPr>
                <w:spacing w:val="-2"/>
                <w:sz w:val="21"/>
              </w:rPr>
              <w:t>.对施工周边环境保护的承诺，基本合理可行得3</w:t>
            </w:r>
            <w:r>
              <w:rPr>
                <w:spacing w:val="-6"/>
                <w:sz w:val="21"/>
              </w:rPr>
              <w:t>分；</w:t>
            </w:r>
          </w:p>
          <w:p w14:paraId="37F1A9CA">
            <w:pPr>
              <w:pStyle w:val="76"/>
              <w:tabs>
                <w:tab w:val="left" w:pos="317"/>
              </w:tabs>
              <w:spacing w:before="141" w:line="364" w:lineRule="auto"/>
              <w:ind w:right="176"/>
              <w:rPr>
                <w:sz w:val="21"/>
              </w:rPr>
            </w:pPr>
            <w:r>
              <w:rPr>
                <w:rFonts w:hint="eastAsia"/>
                <w:spacing w:val="-2"/>
                <w:sz w:val="21"/>
              </w:rPr>
              <w:t>3</w:t>
            </w:r>
            <w:r>
              <w:rPr>
                <w:spacing w:val="-2"/>
                <w:sz w:val="21"/>
              </w:rPr>
              <w:t>.对施工周边环境保护的承诺仅做简单描述，虽然能够基本满足需要，但有很多方面需要进一步完善甚至重新考虑，得1分；</w:t>
            </w:r>
          </w:p>
          <w:p w14:paraId="605C120B">
            <w:pPr>
              <w:pStyle w:val="76"/>
              <w:tabs>
                <w:tab w:val="left" w:pos="317"/>
              </w:tabs>
              <w:spacing w:line="267" w:lineRule="exact"/>
              <w:rPr>
                <w:sz w:val="21"/>
              </w:rPr>
            </w:pPr>
            <w:r>
              <w:rPr>
                <w:rFonts w:hint="eastAsia"/>
                <w:spacing w:val="-2"/>
                <w:sz w:val="21"/>
              </w:rPr>
              <w:t>4</w:t>
            </w:r>
            <w:r>
              <w:rPr>
                <w:spacing w:val="-2"/>
                <w:sz w:val="21"/>
              </w:rPr>
              <w:t>.缺项得0</w:t>
            </w:r>
            <w:r>
              <w:rPr>
                <w:spacing w:val="-6"/>
                <w:sz w:val="21"/>
              </w:rPr>
              <w:t>分。</w:t>
            </w:r>
          </w:p>
        </w:tc>
      </w:tr>
      <w:tr w14:paraId="725B09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76" w:hRule="atLeast"/>
          <w:jc w:val="center"/>
        </w:trPr>
        <w:tc>
          <w:tcPr>
            <w:tcW w:w="1126" w:type="dxa"/>
            <w:vMerge w:val="continue"/>
            <w:tcBorders>
              <w:top w:val="nil"/>
            </w:tcBorders>
          </w:tcPr>
          <w:p w14:paraId="42E26635">
            <w:pPr>
              <w:rPr>
                <w:sz w:val="2"/>
                <w:szCs w:val="2"/>
              </w:rPr>
            </w:pPr>
          </w:p>
        </w:tc>
        <w:tc>
          <w:tcPr>
            <w:tcW w:w="1765" w:type="dxa"/>
          </w:tcPr>
          <w:p w14:paraId="60A02BB0">
            <w:pPr>
              <w:pStyle w:val="76"/>
              <w:ind w:left="11"/>
              <w:jc w:val="center"/>
              <w:rPr>
                <w:spacing w:val="-5"/>
                <w:sz w:val="21"/>
              </w:rPr>
            </w:pPr>
          </w:p>
          <w:p w14:paraId="202E22DC">
            <w:pPr>
              <w:pStyle w:val="76"/>
              <w:ind w:left="11"/>
              <w:jc w:val="center"/>
              <w:rPr>
                <w:spacing w:val="-5"/>
                <w:sz w:val="21"/>
              </w:rPr>
            </w:pPr>
          </w:p>
          <w:p w14:paraId="3032E028">
            <w:pPr>
              <w:pStyle w:val="76"/>
              <w:spacing w:before="273"/>
              <w:ind w:left="11"/>
              <w:jc w:val="center"/>
              <w:rPr>
                <w:spacing w:val="-5"/>
                <w:sz w:val="21"/>
              </w:rPr>
            </w:pPr>
          </w:p>
          <w:p w14:paraId="1A6D7B56">
            <w:pPr>
              <w:pStyle w:val="76"/>
              <w:spacing w:line="364" w:lineRule="auto"/>
              <w:ind w:left="11" w:right="133"/>
              <w:jc w:val="center"/>
              <w:rPr>
                <w:spacing w:val="-5"/>
                <w:sz w:val="21"/>
              </w:rPr>
            </w:pPr>
            <w:r>
              <w:rPr>
                <w:spacing w:val="-5"/>
                <w:sz w:val="21"/>
              </w:rPr>
              <w:t>安全管理体系与措施       （5分）</w:t>
            </w:r>
          </w:p>
        </w:tc>
        <w:tc>
          <w:tcPr>
            <w:tcW w:w="6181" w:type="dxa"/>
          </w:tcPr>
          <w:p w14:paraId="342922CE">
            <w:pPr>
              <w:pStyle w:val="76"/>
              <w:tabs>
                <w:tab w:val="left" w:pos="417"/>
              </w:tabs>
              <w:spacing w:before="1" w:line="364" w:lineRule="auto"/>
              <w:ind w:left="-22" w:right="176"/>
              <w:rPr>
                <w:sz w:val="21"/>
              </w:rPr>
            </w:pPr>
            <w:r>
              <w:rPr>
                <w:rFonts w:hint="eastAsia"/>
                <w:spacing w:val="-2"/>
                <w:sz w:val="21"/>
              </w:rPr>
              <w:t>1</w:t>
            </w:r>
            <w:r>
              <w:rPr>
                <w:spacing w:val="-2"/>
                <w:sz w:val="21"/>
              </w:rPr>
              <w:t>.施工安全生产保障体系健全，安全管理制度完善，安全管理目标具体，全员安全责任制明确，制定相应的安全管理措施且具有可行性得5分；</w:t>
            </w:r>
          </w:p>
          <w:p w14:paraId="4E83E953">
            <w:pPr>
              <w:pStyle w:val="76"/>
              <w:tabs>
                <w:tab w:val="left" w:pos="417"/>
              </w:tabs>
              <w:spacing w:line="364" w:lineRule="auto"/>
              <w:ind w:left="-22" w:right="284"/>
              <w:rPr>
                <w:sz w:val="21"/>
              </w:rPr>
            </w:pPr>
            <w:r>
              <w:rPr>
                <w:rFonts w:hint="eastAsia"/>
                <w:spacing w:val="-2"/>
                <w:sz w:val="21"/>
              </w:rPr>
              <w:t>2</w:t>
            </w:r>
            <w:r>
              <w:rPr>
                <w:spacing w:val="-2"/>
                <w:sz w:val="21"/>
              </w:rPr>
              <w:t>.施工安全生产保障体系基本健全、安全责任制和安全管理制度合理可行，制定有安全管理措施且具有基本可行性得3分；</w:t>
            </w:r>
          </w:p>
          <w:p w14:paraId="1983E49F">
            <w:pPr>
              <w:pStyle w:val="76"/>
              <w:tabs>
                <w:tab w:val="left" w:pos="317"/>
              </w:tabs>
              <w:spacing w:line="364" w:lineRule="auto"/>
              <w:ind w:right="176"/>
              <w:jc w:val="both"/>
              <w:rPr>
                <w:sz w:val="21"/>
              </w:rPr>
            </w:pPr>
            <w:r>
              <w:rPr>
                <w:rFonts w:hint="eastAsia"/>
                <w:spacing w:val="-2"/>
                <w:sz w:val="21"/>
              </w:rPr>
              <w:t>3</w:t>
            </w:r>
            <w:r>
              <w:rPr>
                <w:spacing w:val="-2"/>
                <w:sz w:val="21"/>
              </w:rPr>
              <w:t>.施工安全生产保障体系、安全责任制和安全管理制度仅做简单描述，虽然能够基本满足需要，但有很多方面需要进一步完善甚至重新考虑，得1分；</w:t>
            </w:r>
          </w:p>
          <w:p w14:paraId="4A65E659">
            <w:pPr>
              <w:pStyle w:val="76"/>
              <w:tabs>
                <w:tab w:val="left" w:pos="317"/>
              </w:tabs>
              <w:spacing w:line="266" w:lineRule="exact"/>
              <w:ind w:left="-22"/>
              <w:rPr>
                <w:sz w:val="21"/>
              </w:rPr>
            </w:pPr>
            <w:r>
              <w:rPr>
                <w:rFonts w:hint="eastAsia"/>
                <w:spacing w:val="-2"/>
                <w:sz w:val="21"/>
              </w:rPr>
              <w:t>4</w:t>
            </w:r>
            <w:r>
              <w:rPr>
                <w:spacing w:val="-2"/>
                <w:sz w:val="21"/>
              </w:rPr>
              <w:t>.缺项得0</w:t>
            </w:r>
            <w:r>
              <w:rPr>
                <w:spacing w:val="-6"/>
                <w:sz w:val="21"/>
              </w:rPr>
              <w:t>分。</w:t>
            </w:r>
          </w:p>
        </w:tc>
      </w:tr>
      <w:tr w14:paraId="2CC4DF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34" w:hRule="atLeast"/>
          <w:jc w:val="center"/>
        </w:trPr>
        <w:tc>
          <w:tcPr>
            <w:tcW w:w="1126" w:type="dxa"/>
            <w:vMerge w:val="restart"/>
          </w:tcPr>
          <w:p w14:paraId="7B0000FD">
            <w:pPr>
              <w:pStyle w:val="76"/>
              <w:rPr>
                <w:b/>
                <w:sz w:val="21"/>
              </w:rPr>
            </w:pPr>
          </w:p>
          <w:p w14:paraId="6C719A1F">
            <w:pPr>
              <w:pStyle w:val="76"/>
              <w:rPr>
                <w:b/>
                <w:sz w:val="21"/>
              </w:rPr>
            </w:pPr>
          </w:p>
          <w:p w14:paraId="1B6CAEE9">
            <w:pPr>
              <w:pStyle w:val="76"/>
              <w:spacing w:before="74"/>
              <w:rPr>
                <w:b/>
                <w:sz w:val="21"/>
              </w:rPr>
            </w:pPr>
          </w:p>
          <w:p w14:paraId="0CDC87B0">
            <w:pPr>
              <w:pStyle w:val="76"/>
              <w:ind w:left="11"/>
              <w:jc w:val="center"/>
              <w:rPr>
                <w:sz w:val="21"/>
              </w:rPr>
            </w:pPr>
            <w:r>
              <w:rPr>
                <w:spacing w:val="-5"/>
                <w:sz w:val="21"/>
              </w:rPr>
              <w:t>综合标</w:t>
            </w:r>
          </w:p>
          <w:p w14:paraId="49DC6179">
            <w:pPr>
              <w:pStyle w:val="76"/>
              <w:spacing w:before="141"/>
              <w:ind w:left="11" w:right="5"/>
              <w:jc w:val="center"/>
              <w:rPr>
                <w:sz w:val="21"/>
              </w:rPr>
            </w:pPr>
            <w:r>
              <w:rPr>
                <w:spacing w:val="-2"/>
                <w:sz w:val="21"/>
              </w:rPr>
              <w:t>（20分</w:t>
            </w:r>
            <w:r>
              <w:rPr>
                <w:spacing w:val="-10"/>
                <w:sz w:val="21"/>
              </w:rPr>
              <w:t>）</w:t>
            </w:r>
          </w:p>
          <w:p w14:paraId="532CF31C">
            <w:pPr>
              <w:rPr>
                <w:sz w:val="21"/>
              </w:rPr>
            </w:pPr>
            <w:r>
              <w:tab/>
            </w:r>
          </w:p>
        </w:tc>
        <w:tc>
          <w:tcPr>
            <w:tcW w:w="1765" w:type="dxa"/>
            <w:vAlign w:val="center"/>
          </w:tcPr>
          <w:p w14:paraId="176FA2B0">
            <w:pPr>
              <w:pStyle w:val="76"/>
              <w:spacing w:before="25"/>
              <w:rPr>
                <w:b/>
                <w:sz w:val="21"/>
                <w:szCs w:val="21"/>
              </w:rPr>
            </w:pPr>
          </w:p>
          <w:p w14:paraId="5CC1262B">
            <w:pPr>
              <w:pStyle w:val="76"/>
              <w:spacing w:before="1"/>
              <w:ind w:left="10"/>
              <w:jc w:val="center"/>
              <w:rPr>
                <w:sz w:val="21"/>
                <w:szCs w:val="21"/>
              </w:rPr>
            </w:pPr>
            <w:r>
              <w:rPr>
                <w:spacing w:val="-4"/>
                <w:sz w:val="21"/>
                <w:szCs w:val="21"/>
              </w:rPr>
              <w:t>企业类似业绩</w:t>
            </w:r>
          </w:p>
          <w:p w14:paraId="2F8FF890">
            <w:pPr>
              <w:pStyle w:val="76"/>
              <w:spacing w:before="138"/>
              <w:ind w:left="5"/>
              <w:jc w:val="center"/>
              <w:rPr>
                <w:sz w:val="21"/>
                <w:szCs w:val="21"/>
              </w:rPr>
            </w:pPr>
            <w:r>
              <w:rPr>
                <w:spacing w:val="-2"/>
                <w:sz w:val="21"/>
                <w:szCs w:val="21"/>
              </w:rPr>
              <w:t>（3分</w:t>
            </w:r>
            <w:r>
              <w:rPr>
                <w:spacing w:val="-10"/>
                <w:sz w:val="21"/>
                <w:szCs w:val="21"/>
              </w:rPr>
              <w:t>）</w:t>
            </w:r>
          </w:p>
        </w:tc>
        <w:tc>
          <w:tcPr>
            <w:tcW w:w="6181" w:type="dxa"/>
          </w:tcPr>
          <w:p w14:paraId="099E534D">
            <w:pPr>
              <w:spacing w:line="360" w:lineRule="auto"/>
              <w:rPr>
                <w:sz w:val="21"/>
                <w:szCs w:val="21"/>
              </w:rPr>
            </w:pPr>
            <w:r>
              <w:rPr>
                <w:sz w:val="21"/>
                <w:szCs w:val="21"/>
              </w:rPr>
              <w:t>供应商每提供一份2022年1月1日以来（含）类似业绩的得1.5分，本项最高得3分。</w:t>
            </w:r>
          </w:p>
          <w:p w14:paraId="0C823C1E">
            <w:pPr>
              <w:spacing w:line="360" w:lineRule="auto"/>
              <w:rPr>
                <w:sz w:val="21"/>
                <w:szCs w:val="21"/>
              </w:rPr>
            </w:pPr>
            <w:r>
              <w:rPr>
                <w:sz w:val="21"/>
                <w:szCs w:val="21"/>
              </w:rPr>
              <w:t>注：（1）以合同签订日期为准；</w:t>
            </w:r>
          </w:p>
          <w:p w14:paraId="3B83FEB6">
            <w:pPr>
              <w:spacing w:line="360" w:lineRule="auto"/>
              <w:rPr>
                <w:sz w:val="21"/>
                <w:szCs w:val="21"/>
              </w:rPr>
            </w:pPr>
            <w:r>
              <w:rPr>
                <w:sz w:val="21"/>
                <w:szCs w:val="21"/>
              </w:rPr>
              <w:t>（2）响应文件中附合同协议书</w:t>
            </w:r>
            <w:r>
              <w:rPr>
                <w:rFonts w:hint="eastAsia"/>
                <w:sz w:val="21"/>
                <w:szCs w:val="21"/>
              </w:rPr>
              <w:t>、中标通知书</w:t>
            </w:r>
            <w:r>
              <w:rPr>
                <w:sz w:val="21"/>
                <w:szCs w:val="21"/>
              </w:rPr>
              <w:t>和工程竣工验收证明材料扫描件并加盖单位公章，否则不得分。</w:t>
            </w:r>
          </w:p>
        </w:tc>
      </w:tr>
      <w:tr w14:paraId="3655B5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36" w:hRule="atLeast"/>
          <w:jc w:val="center"/>
        </w:trPr>
        <w:tc>
          <w:tcPr>
            <w:tcW w:w="1126" w:type="dxa"/>
            <w:vMerge w:val="continue"/>
          </w:tcPr>
          <w:p w14:paraId="1243774E">
            <w:pPr>
              <w:rPr>
                <w:sz w:val="2"/>
                <w:szCs w:val="2"/>
              </w:rPr>
            </w:pPr>
          </w:p>
        </w:tc>
        <w:tc>
          <w:tcPr>
            <w:tcW w:w="1765" w:type="dxa"/>
          </w:tcPr>
          <w:p w14:paraId="6DFC3FE1">
            <w:pPr>
              <w:pStyle w:val="76"/>
              <w:spacing w:before="25"/>
              <w:rPr>
                <w:b/>
                <w:sz w:val="21"/>
                <w:szCs w:val="21"/>
              </w:rPr>
            </w:pPr>
          </w:p>
          <w:p w14:paraId="6DA76265">
            <w:pPr>
              <w:pStyle w:val="76"/>
              <w:ind w:left="10"/>
              <w:jc w:val="center"/>
              <w:rPr>
                <w:sz w:val="21"/>
                <w:szCs w:val="21"/>
              </w:rPr>
            </w:pPr>
            <w:r>
              <w:rPr>
                <w:spacing w:val="-4"/>
                <w:sz w:val="21"/>
                <w:szCs w:val="21"/>
              </w:rPr>
              <w:t>项目经理业绩</w:t>
            </w:r>
          </w:p>
          <w:p w14:paraId="45BEA214">
            <w:pPr>
              <w:pStyle w:val="76"/>
              <w:spacing w:before="139"/>
              <w:ind w:left="8"/>
              <w:jc w:val="center"/>
              <w:rPr>
                <w:sz w:val="21"/>
                <w:szCs w:val="21"/>
              </w:rPr>
            </w:pPr>
            <w:r>
              <w:rPr>
                <w:spacing w:val="-2"/>
                <w:sz w:val="21"/>
                <w:szCs w:val="21"/>
              </w:rPr>
              <w:t>（3分</w:t>
            </w:r>
            <w:r>
              <w:rPr>
                <w:spacing w:val="-10"/>
                <w:sz w:val="21"/>
                <w:szCs w:val="21"/>
              </w:rPr>
              <w:t>）</w:t>
            </w:r>
          </w:p>
        </w:tc>
        <w:tc>
          <w:tcPr>
            <w:tcW w:w="6181" w:type="dxa"/>
          </w:tcPr>
          <w:p w14:paraId="1051277F">
            <w:pPr>
              <w:spacing w:line="360" w:lineRule="auto"/>
              <w:rPr>
                <w:sz w:val="21"/>
                <w:szCs w:val="21"/>
              </w:rPr>
            </w:pPr>
            <w:r>
              <w:rPr>
                <w:sz w:val="21"/>
                <w:szCs w:val="21"/>
              </w:rPr>
              <w:t>供应商</w:t>
            </w:r>
            <w:r>
              <w:rPr>
                <w:rFonts w:hint="eastAsia"/>
                <w:sz w:val="21"/>
                <w:szCs w:val="21"/>
              </w:rPr>
              <w:t>拟派项目经理</w:t>
            </w:r>
            <w:r>
              <w:rPr>
                <w:sz w:val="21"/>
                <w:szCs w:val="21"/>
              </w:rPr>
              <w:t>每提供一份2022年1月1日以来（含）类似业绩的得1.5分，本项最高得3分。</w:t>
            </w:r>
          </w:p>
          <w:p w14:paraId="4213F228">
            <w:pPr>
              <w:spacing w:line="360" w:lineRule="auto"/>
              <w:rPr>
                <w:sz w:val="21"/>
                <w:szCs w:val="21"/>
              </w:rPr>
            </w:pPr>
            <w:r>
              <w:rPr>
                <w:sz w:val="21"/>
                <w:szCs w:val="21"/>
              </w:rPr>
              <w:t>注：（1）以合同签订日期为准</w:t>
            </w:r>
            <w:r>
              <w:rPr>
                <w:rFonts w:hint="eastAsia"/>
                <w:sz w:val="21"/>
                <w:szCs w:val="21"/>
              </w:rPr>
              <w:t>，证明材料中需体现项目经理名字</w:t>
            </w:r>
            <w:r>
              <w:rPr>
                <w:sz w:val="21"/>
                <w:szCs w:val="21"/>
              </w:rPr>
              <w:t>；</w:t>
            </w:r>
          </w:p>
          <w:p w14:paraId="347067F4">
            <w:pPr>
              <w:spacing w:line="360" w:lineRule="auto"/>
              <w:rPr>
                <w:sz w:val="21"/>
                <w:szCs w:val="21"/>
              </w:rPr>
            </w:pPr>
            <w:r>
              <w:rPr>
                <w:sz w:val="21"/>
                <w:szCs w:val="21"/>
              </w:rPr>
              <w:t>（2）响应文件中附合同协议书</w:t>
            </w:r>
            <w:r>
              <w:rPr>
                <w:rFonts w:hint="eastAsia"/>
                <w:sz w:val="21"/>
                <w:szCs w:val="21"/>
              </w:rPr>
              <w:t>、中标通知书</w:t>
            </w:r>
            <w:r>
              <w:rPr>
                <w:sz w:val="21"/>
                <w:szCs w:val="21"/>
              </w:rPr>
              <w:t>和工程竣工验收证明材料扫描件并加盖单位公章，否则不得分。</w:t>
            </w:r>
          </w:p>
          <w:p w14:paraId="285BA354">
            <w:pPr>
              <w:spacing w:line="360" w:lineRule="auto"/>
              <w:rPr>
                <w:sz w:val="21"/>
                <w:szCs w:val="21"/>
              </w:rPr>
            </w:pPr>
            <w:r>
              <w:rPr>
                <w:sz w:val="21"/>
                <w:szCs w:val="21"/>
              </w:rPr>
              <w:t>（3）项目经理业绩与企业业绩</w:t>
            </w:r>
            <w:r>
              <w:rPr>
                <w:rFonts w:hint="eastAsia"/>
                <w:sz w:val="21"/>
                <w:szCs w:val="21"/>
              </w:rPr>
              <w:t>不</w:t>
            </w:r>
            <w:r>
              <w:rPr>
                <w:sz w:val="21"/>
                <w:szCs w:val="21"/>
              </w:rPr>
              <w:t>可重复。</w:t>
            </w:r>
          </w:p>
        </w:tc>
      </w:tr>
      <w:tr w14:paraId="3CC65C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36" w:hRule="atLeast"/>
          <w:jc w:val="center"/>
        </w:trPr>
        <w:tc>
          <w:tcPr>
            <w:tcW w:w="1126" w:type="dxa"/>
            <w:vMerge w:val="continue"/>
          </w:tcPr>
          <w:p w14:paraId="6047F6B6">
            <w:pPr>
              <w:rPr>
                <w:sz w:val="2"/>
                <w:szCs w:val="2"/>
              </w:rPr>
            </w:pPr>
          </w:p>
        </w:tc>
        <w:tc>
          <w:tcPr>
            <w:tcW w:w="1765" w:type="dxa"/>
            <w:vAlign w:val="center"/>
          </w:tcPr>
          <w:p w14:paraId="253F9981">
            <w:pPr>
              <w:pStyle w:val="76"/>
              <w:spacing w:before="25"/>
              <w:jc w:val="center"/>
              <w:rPr>
                <w:sz w:val="21"/>
                <w:szCs w:val="21"/>
              </w:rPr>
            </w:pPr>
            <w:r>
              <w:rPr>
                <w:rFonts w:hint="eastAsia"/>
                <w:sz w:val="21"/>
                <w:szCs w:val="21"/>
              </w:rPr>
              <w:t>项目拟派人员（</w:t>
            </w:r>
            <w:r>
              <w:rPr>
                <w:sz w:val="21"/>
                <w:szCs w:val="21"/>
              </w:rPr>
              <w:t>6</w:t>
            </w:r>
            <w:r>
              <w:rPr>
                <w:rFonts w:hint="eastAsia"/>
                <w:sz w:val="21"/>
                <w:szCs w:val="21"/>
              </w:rPr>
              <w:t>分）</w:t>
            </w:r>
          </w:p>
        </w:tc>
        <w:tc>
          <w:tcPr>
            <w:tcW w:w="6181" w:type="dxa"/>
          </w:tcPr>
          <w:p w14:paraId="12F5D151">
            <w:pPr>
              <w:spacing w:line="360" w:lineRule="auto"/>
              <w:rPr>
                <w:sz w:val="21"/>
                <w:szCs w:val="21"/>
              </w:rPr>
            </w:pPr>
            <w:r>
              <w:rPr>
                <w:sz w:val="21"/>
                <w:szCs w:val="21"/>
              </w:rPr>
              <w:t>1.拟派项目技术负责人具有工程相关专业中级及以上职称的，得2分，否则不得分。</w:t>
            </w:r>
          </w:p>
          <w:p w14:paraId="36FFCD0D">
            <w:pPr>
              <w:spacing w:line="360" w:lineRule="auto"/>
              <w:rPr>
                <w:sz w:val="21"/>
                <w:szCs w:val="21"/>
              </w:rPr>
            </w:pPr>
            <w:r>
              <w:rPr>
                <w:sz w:val="21"/>
                <w:szCs w:val="21"/>
              </w:rPr>
              <w:t>2.</w:t>
            </w:r>
            <w:r>
              <w:rPr>
                <w:rFonts w:hint="eastAsia"/>
                <w:sz w:val="21"/>
                <w:szCs w:val="21"/>
              </w:rPr>
              <w:t xml:space="preserve"> 拟派项目管理机构中施工员、质量员、安全员、材料员、造价人员配备齐全的得</w:t>
            </w:r>
            <w:r>
              <w:rPr>
                <w:sz w:val="21"/>
                <w:szCs w:val="21"/>
              </w:rPr>
              <w:t>4分，否则不得分。</w:t>
            </w:r>
          </w:p>
          <w:p w14:paraId="184B5A85">
            <w:pPr>
              <w:spacing w:line="360" w:lineRule="auto"/>
              <w:rPr>
                <w:sz w:val="21"/>
                <w:szCs w:val="21"/>
              </w:rPr>
            </w:pPr>
            <w:r>
              <w:rPr>
                <w:rFonts w:hint="eastAsia"/>
                <w:sz w:val="21"/>
                <w:szCs w:val="21"/>
              </w:rPr>
              <w:t>注：</w:t>
            </w:r>
            <w:r>
              <w:rPr>
                <w:sz w:val="21"/>
                <w:szCs w:val="21"/>
              </w:rPr>
              <w:t>需提供有效的</w:t>
            </w:r>
            <w:r>
              <w:rPr>
                <w:rFonts w:hint="eastAsia"/>
                <w:sz w:val="21"/>
                <w:szCs w:val="21"/>
              </w:rPr>
              <w:t>人员岗位证书、劳动合同及供应商为其缴纳的社保缴纳证明扫描件。</w:t>
            </w:r>
          </w:p>
        </w:tc>
      </w:tr>
      <w:tr w14:paraId="34410B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16" w:hRule="atLeast"/>
          <w:jc w:val="center"/>
        </w:trPr>
        <w:tc>
          <w:tcPr>
            <w:tcW w:w="1126" w:type="dxa"/>
            <w:vMerge w:val="continue"/>
          </w:tcPr>
          <w:p w14:paraId="157CBFC4">
            <w:pPr>
              <w:rPr>
                <w:sz w:val="2"/>
                <w:szCs w:val="2"/>
              </w:rPr>
            </w:pPr>
          </w:p>
        </w:tc>
        <w:tc>
          <w:tcPr>
            <w:tcW w:w="1765" w:type="dxa"/>
            <w:vAlign w:val="center"/>
          </w:tcPr>
          <w:p w14:paraId="0805D5BC">
            <w:pPr>
              <w:pStyle w:val="76"/>
              <w:ind w:left="460"/>
              <w:rPr>
                <w:sz w:val="21"/>
              </w:rPr>
            </w:pPr>
            <w:r>
              <w:rPr>
                <w:spacing w:val="-4"/>
                <w:sz w:val="21"/>
              </w:rPr>
              <w:t>服务承诺</w:t>
            </w:r>
          </w:p>
          <w:p w14:paraId="1A813CB3">
            <w:pPr>
              <w:pStyle w:val="76"/>
              <w:spacing w:before="139"/>
              <w:ind w:left="460"/>
              <w:rPr>
                <w:sz w:val="21"/>
              </w:rPr>
            </w:pPr>
            <w:r>
              <w:rPr>
                <w:spacing w:val="-2"/>
                <w:sz w:val="21"/>
              </w:rPr>
              <w:t>（8分</w:t>
            </w:r>
            <w:r>
              <w:rPr>
                <w:spacing w:val="-10"/>
                <w:sz w:val="21"/>
              </w:rPr>
              <w:t>）</w:t>
            </w:r>
          </w:p>
        </w:tc>
        <w:tc>
          <w:tcPr>
            <w:tcW w:w="6181" w:type="dxa"/>
          </w:tcPr>
          <w:p w14:paraId="0D3E5B9A">
            <w:pPr>
              <w:pStyle w:val="76"/>
              <w:spacing w:line="346" w:lineRule="exact"/>
              <w:ind w:left="106"/>
              <w:rPr>
                <w:b/>
                <w:sz w:val="21"/>
              </w:rPr>
            </w:pPr>
            <w:r>
              <w:rPr>
                <w:rFonts w:hint="eastAsia"/>
                <w:b/>
                <w:spacing w:val="-2"/>
                <w:sz w:val="21"/>
              </w:rPr>
              <w:t>1</w:t>
            </w:r>
            <w:r>
              <w:rPr>
                <w:b/>
                <w:spacing w:val="-2"/>
                <w:sz w:val="21"/>
              </w:rPr>
              <w:t>.对工程质量、工期和经济处罚承诺，并提供预防措施（3分</w:t>
            </w:r>
            <w:r>
              <w:rPr>
                <w:b/>
                <w:spacing w:val="-10"/>
                <w:sz w:val="21"/>
              </w:rPr>
              <w:t>）</w:t>
            </w:r>
          </w:p>
          <w:p w14:paraId="04C6276B">
            <w:pPr>
              <w:pStyle w:val="76"/>
              <w:numPr>
                <w:ilvl w:val="0"/>
                <w:numId w:val="3"/>
              </w:numPr>
              <w:tabs>
                <w:tab w:val="left" w:pos="317"/>
              </w:tabs>
              <w:spacing w:before="91" w:line="364" w:lineRule="auto"/>
              <w:ind w:right="176" w:firstLine="0"/>
              <w:rPr>
                <w:sz w:val="21"/>
              </w:rPr>
            </w:pPr>
            <w:r>
              <w:rPr>
                <w:spacing w:val="-2"/>
                <w:sz w:val="21"/>
              </w:rPr>
              <w:t>内容详实、科学、合理，考虑全面，措施到位，针对性强，完全能够满足需要，得3分；</w:t>
            </w:r>
          </w:p>
          <w:p w14:paraId="6510C167">
            <w:pPr>
              <w:pStyle w:val="76"/>
              <w:numPr>
                <w:ilvl w:val="0"/>
                <w:numId w:val="3"/>
              </w:numPr>
              <w:tabs>
                <w:tab w:val="left" w:pos="317"/>
              </w:tabs>
              <w:spacing w:line="364" w:lineRule="auto"/>
              <w:ind w:right="176" w:firstLine="0"/>
              <w:rPr>
                <w:sz w:val="21"/>
              </w:rPr>
            </w:pPr>
            <w:r>
              <w:rPr>
                <w:spacing w:val="-2"/>
                <w:sz w:val="21"/>
              </w:rPr>
              <w:t>内容完整，基本科学、合理，基本考虑周全，措施基本到位，针对性强，可以满足需要，但有个别细节需要进一步完善或提</w:t>
            </w:r>
            <w:r>
              <w:rPr>
                <w:spacing w:val="40"/>
                <w:sz w:val="21"/>
              </w:rPr>
              <w:t xml:space="preserve"> </w:t>
            </w:r>
            <w:r>
              <w:rPr>
                <w:spacing w:val="-2"/>
                <w:sz w:val="21"/>
              </w:rPr>
              <w:t>高，得2分；</w:t>
            </w:r>
          </w:p>
          <w:p w14:paraId="45B20392">
            <w:pPr>
              <w:pStyle w:val="76"/>
              <w:numPr>
                <w:ilvl w:val="0"/>
                <w:numId w:val="3"/>
              </w:numPr>
              <w:tabs>
                <w:tab w:val="left" w:pos="317"/>
              </w:tabs>
              <w:spacing w:line="364" w:lineRule="auto"/>
              <w:ind w:right="176" w:firstLine="0"/>
              <w:rPr>
                <w:sz w:val="21"/>
              </w:rPr>
            </w:pPr>
            <w:r>
              <w:rPr>
                <w:spacing w:val="-2"/>
                <w:sz w:val="21"/>
              </w:rPr>
              <w:t>内容基本完整，科学、合理性方面一般，虽然能够基本满足需要，但有很多方面需要进一步完善或重新考虑，得1分；</w:t>
            </w:r>
          </w:p>
          <w:p w14:paraId="52525FD5">
            <w:pPr>
              <w:pStyle w:val="76"/>
              <w:numPr>
                <w:ilvl w:val="0"/>
                <w:numId w:val="3"/>
              </w:numPr>
              <w:tabs>
                <w:tab w:val="left" w:pos="317"/>
              </w:tabs>
              <w:spacing w:line="268" w:lineRule="exact"/>
              <w:ind w:left="317" w:hanging="211"/>
              <w:rPr>
                <w:sz w:val="21"/>
              </w:rPr>
            </w:pPr>
            <w:r>
              <w:rPr>
                <w:spacing w:val="-2"/>
                <w:sz w:val="21"/>
              </w:rPr>
              <w:t>缺项得0</w:t>
            </w:r>
            <w:r>
              <w:rPr>
                <w:spacing w:val="-6"/>
                <w:sz w:val="21"/>
              </w:rPr>
              <w:t>分。</w:t>
            </w:r>
          </w:p>
          <w:p w14:paraId="72C1A9AB">
            <w:pPr>
              <w:pStyle w:val="76"/>
              <w:spacing w:before="69" w:line="254" w:lineRule="auto"/>
              <w:ind w:left="106" w:right="157"/>
              <w:rPr>
                <w:b/>
                <w:sz w:val="21"/>
              </w:rPr>
            </w:pPr>
            <w:r>
              <w:rPr>
                <w:rFonts w:hint="eastAsia"/>
                <w:b/>
                <w:spacing w:val="-2"/>
                <w:sz w:val="21"/>
              </w:rPr>
              <w:t>2</w:t>
            </w:r>
            <w:r>
              <w:rPr>
                <w:b/>
                <w:spacing w:val="-2"/>
                <w:sz w:val="21"/>
              </w:rPr>
              <w:t>.施工期间，保证不发生任何安全事故，如有发生将承担由此产生的费用和经济处罚承诺，并提供预防措施（3分）</w:t>
            </w:r>
          </w:p>
          <w:p w14:paraId="57E03F56">
            <w:pPr>
              <w:pStyle w:val="76"/>
              <w:numPr>
                <w:ilvl w:val="0"/>
                <w:numId w:val="4"/>
              </w:numPr>
              <w:tabs>
                <w:tab w:val="left" w:pos="317"/>
              </w:tabs>
              <w:spacing w:before="67"/>
              <w:ind w:left="317" w:hanging="211"/>
              <w:rPr>
                <w:sz w:val="21"/>
              </w:rPr>
            </w:pPr>
            <w:r>
              <w:rPr>
                <w:spacing w:val="-3"/>
                <w:sz w:val="21"/>
              </w:rPr>
              <w:t>内容详实、科学、合理，考虑周全，预防措施到位，针对性强</w:t>
            </w:r>
          </w:p>
          <w:p w14:paraId="1C7CDD52">
            <w:pPr>
              <w:pStyle w:val="76"/>
              <w:spacing w:before="139"/>
              <w:ind w:left="106"/>
              <w:rPr>
                <w:sz w:val="21"/>
              </w:rPr>
            </w:pPr>
            <w:r>
              <w:rPr>
                <w:spacing w:val="-2"/>
                <w:sz w:val="21"/>
              </w:rPr>
              <w:t>，完全能够满足需要，得3</w:t>
            </w:r>
            <w:r>
              <w:rPr>
                <w:spacing w:val="-6"/>
                <w:sz w:val="21"/>
              </w:rPr>
              <w:t>分；</w:t>
            </w:r>
          </w:p>
          <w:p w14:paraId="280486C0">
            <w:pPr>
              <w:pStyle w:val="76"/>
              <w:numPr>
                <w:ilvl w:val="0"/>
                <w:numId w:val="4"/>
              </w:numPr>
              <w:tabs>
                <w:tab w:val="left" w:pos="317"/>
              </w:tabs>
              <w:spacing w:before="141" w:line="364" w:lineRule="auto"/>
              <w:ind w:left="106" w:right="176" w:firstLine="0"/>
              <w:jc w:val="both"/>
              <w:rPr>
                <w:sz w:val="21"/>
              </w:rPr>
            </w:pPr>
            <w:r>
              <w:rPr>
                <w:spacing w:val="-2"/>
                <w:sz w:val="21"/>
              </w:rPr>
              <w:t>内容完整，基本科学、合理，基本考虑周全，预防措施基本到位，针对性强，可以满足需要，但有个别细节需要进一步完善或提高，得2分；</w:t>
            </w:r>
          </w:p>
          <w:p w14:paraId="3A0B4813">
            <w:pPr>
              <w:pStyle w:val="76"/>
              <w:numPr>
                <w:ilvl w:val="0"/>
                <w:numId w:val="4"/>
              </w:numPr>
              <w:tabs>
                <w:tab w:val="left" w:pos="317"/>
              </w:tabs>
              <w:spacing w:line="364" w:lineRule="auto"/>
              <w:ind w:left="106" w:right="176" w:firstLine="0"/>
              <w:rPr>
                <w:sz w:val="21"/>
              </w:rPr>
            </w:pPr>
            <w:r>
              <w:rPr>
                <w:spacing w:val="-2"/>
                <w:sz w:val="21"/>
              </w:rPr>
              <w:t>内容基本完整，科学、合理性方面一般，虽然能够基本满足需要，但有很多方面需要进一步完善或重新考虑，得1分；</w:t>
            </w:r>
          </w:p>
          <w:p w14:paraId="6E7DB73C">
            <w:pPr>
              <w:pStyle w:val="76"/>
              <w:numPr>
                <w:ilvl w:val="0"/>
                <w:numId w:val="4"/>
              </w:numPr>
              <w:tabs>
                <w:tab w:val="left" w:pos="317"/>
              </w:tabs>
              <w:ind w:left="317" w:hanging="211"/>
              <w:rPr>
                <w:sz w:val="21"/>
              </w:rPr>
            </w:pPr>
            <w:r>
              <w:rPr>
                <w:spacing w:val="-2"/>
                <w:sz w:val="21"/>
              </w:rPr>
              <w:t>缺项得0</w:t>
            </w:r>
            <w:r>
              <w:rPr>
                <w:spacing w:val="-6"/>
                <w:sz w:val="21"/>
              </w:rPr>
              <w:t>分。</w:t>
            </w:r>
          </w:p>
          <w:p w14:paraId="53E8610A">
            <w:pPr>
              <w:pStyle w:val="76"/>
              <w:spacing w:before="68"/>
              <w:ind w:left="106"/>
              <w:rPr>
                <w:b/>
                <w:sz w:val="21"/>
              </w:rPr>
            </w:pPr>
            <w:r>
              <w:rPr>
                <w:rFonts w:hint="eastAsia"/>
                <w:b/>
                <w:spacing w:val="-2"/>
                <w:sz w:val="21"/>
              </w:rPr>
              <w:t>3</w:t>
            </w:r>
            <w:r>
              <w:rPr>
                <w:b/>
                <w:spacing w:val="-2"/>
                <w:sz w:val="21"/>
              </w:rPr>
              <w:t>.工程质量保修期内、外的实质性服务承诺（2分</w:t>
            </w:r>
            <w:r>
              <w:rPr>
                <w:b/>
                <w:spacing w:val="-10"/>
                <w:sz w:val="21"/>
              </w:rPr>
              <w:t>）</w:t>
            </w:r>
          </w:p>
          <w:p w14:paraId="2F32C85C">
            <w:pPr>
              <w:pStyle w:val="76"/>
              <w:numPr>
                <w:ilvl w:val="0"/>
                <w:numId w:val="5"/>
              </w:numPr>
              <w:tabs>
                <w:tab w:val="left" w:pos="317"/>
              </w:tabs>
              <w:spacing w:before="91" w:line="364" w:lineRule="auto"/>
              <w:ind w:right="176" w:firstLine="0"/>
              <w:rPr>
                <w:sz w:val="21"/>
              </w:rPr>
            </w:pPr>
            <w:r>
              <w:rPr>
                <w:spacing w:val="-2"/>
                <w:sz w:val="21"/>
              </w:rPr>
              <w:t>内容详实、科学、合理，考虑周全，措施到位，针对性强，完全能够满足需要，得2分；</w:t>
            </w:r>
          </w:p>
          <w:p w14:paraId="0CD70D0E">
            <w:pPr>
              <w:pStyle w:val="76"/>
              <w:numPr>
                <w:ilvl w:val="0"/>
                <w:numId w:val="5"/>
              </w:numPr>
              <w:tabs>
                <w:tab w:val="left" w:pos="317"/>
              </w:tabs>
              <w:spacing w:line="364" w:lineRule="auto"/>
              <w:ind w:right="176" w:firstLine="0"/>
              <w:rPr>
                <w:sz w:val="21"/>
              </w:rPr>
            </w:pPr>
            <w:r>
              <w:rPr>
                <w:spacing w:val="-2"/>
                <w:sz w:val="21"/>
              </w:rPr>
              <w:t>内容完整，基本科学、合理，基本考虑周全，措施基本到位，针对性强，可以满足需要，但有个别细节需要进一步完善或提高，得1.5分；</w:t>
            </w:r>
          </w:p>
          <w:p w14:paraId="4FEE5806">
            <w:pPr>
              <w:pStyle w:val="76"/>
              <w:numPr>
                <w:ilvl w:val="0"/>
                <w:numId w:val="5"/>
              </w:numPr>
              <w:tabs>
                <w:tab w:val="left" w:pos="317"/>
              </w:tabs>
              <w:spacing w:line="364" w:lineRule="auto"/>
              <w:ind w:right="176" w:firstLine="0"/>
              <w:rPr>
                <w:sz w:val="21"/>
              </w:rPr>
            </w:pPr>
            <w:r>
              <w:rPr>
                <w:spacing w:val="-2"/>
                <w:sz w:val="21"/>
              </w:rPr>
              <w:t>内容基本完整，科学、合理性方面一般，虽然能够基本满足需要，但有很多方面需要进一步完善或重新考虑，得1分；</w:t>
            </w:r>
          </w:p>
          <w:p w14:paraId="3A0E7582">
            <w:pPr>
              <w:pStyle w:val="76"/>
              <w:numPr>
                <w:ilvl w:val="0"/>
                <w:numId w:val="5"/>
              </w:numPr>
              <w:tabs>
                <w:tab w:val="left" w:pos="317"/>
              </w:tabs>
              <w:ind w:left="317" w:hanging="211"/>
              <w:rPr>
                <w:sz w:val="21"/>
              </w:rPr>
            </w:pPr>
            <w:r>
              <w:rPr>
                <w:spacing w:val="-2"/>
                <w:sz w:val="21"/>
              </w:rPr>
              <w:t>缺项得0</w:t>
            </w:r>
            <w:r>
              <w:rPr>
                <w:spacing w:val="-6"/>
                <w:sz w:val="21"/>
              </w:rPr>
              <w:t>分。</w:t>
            </w:r>
          </w:p>
        </w:tc>
      </w:tr>
    </w:tbl>
    <w:p w14:paraId="7A42DB44">
      <w:pPr>
        <w:pStyle w:val="76"/>
        <w:rPr>
          <w:sz w:val="21"/>
        </w:rPr>
      </w:pPr>
    </w:p>
    <w:p w14:paraId="195B7068">
      <w:pPr>
        <w:spacing w:line="360" w:lineRule="auto"/>
        <w:ind w:firstLine="442" w:firstLineChars="200"/>
        <w:rPr>
          <w:b/>
        </w:rPr>
      </w:pPr>
      <w:r>
        <w:rPr>
          <w:b/>
        </w:rPr>
        <w:t>三、得分的计算</w:t>
      </w:r>
    </w:p>
    <w:p w14:paraId="5E0EE056">
      <w:pPr>
        <w:spacing w:line="360" w:lineRule="auto"/>
        <w:ind w:firstLine="440" w:firstLineChars="200"/>
      </w:pPr>
      <w:r>
        <w:t>磋商小组成员评分=经济标得分+技术标得分+综合标得分</w:t>
      </w:r>
    </w:p>
    <w:p w14:paraId="31D798DD">
      <w:pPr>
        <w:spacing w:line="360" w:lineRule="auto"/>
        <w:ind w:firstLine="440" w:firstLineChars="200"/>
      </w:pPr>
      <w:r>
        <w:t>评审最终得分=磋商小组所有成员合计评分/磋商小组组成人员数</w:t>
      </w:r>
    </w:p>
    <w:p w14:paraId="0177E0AD">
      <w:pPr>
        <w:spacing w:line="360" w:lineRule="auto"/>
        <w:ind w:firstLine="442" w:firstLineChars="200"/>
        <w:rPr>
          <w:b/>
        </w:rPr>
      </w:pPr>
      <w:r>
        <w:rPr>
          <w:rFonts w:hint="eastAsia"/>
          <w:b/>
        </w:rPr>
        <w:t>1</w:t>
      </w:r>
      <w:r>
        <w:rPr>
          <w:b/>
        </w:rPr>
        <w:t>.评审方法</w:t>
      </w:r>
    </w:p>
    <w:p w14:paraId="43C0B05B">
      <w:pPr>
        <w:spacing w:line="360" w:lineRule="auto"/>
        <w:ind w:firstLine="440" w:firstLineChars="200"/>
      </w:pPr>
      <w:r>
        <w:t>本次评审采用综合评分法，磋商小组对满足竞争性磋商文件实质性要求的竞争性磋商响应文件，按照本章第 2.2 款规定的评审标准进行打分，并按得分由高到低顺序推荐成交候选供应商。综合</w:t>
      </w:r>
    </w:p>
    <w:p w14:paraId="61F831EB">
      <w:pPr>
        <w:spacing w:line="360" w:lineRule="auto"/>
        <w:ind w:firstLine="440" w:firstLineChars="200"/>
      </w:pPr>
      <w:r>
        <w:t>评分相等的情况下，以磋商报价低的优先，磋商报价也相等的，以技术标得分高的优先。技术标得分也相同时，由磋商小组自行确定。</w:t>
      </w:r>
    </w:p>
    <w:p w14:paraId="2035355C">
      <w:pPr>
        <w:spacing w:line="360" w:lineRule="auto"/>
        <w:ind w:firstLine="442" w:firstLineChars="200"/>
        <w:rPr>
          <w:b/>
        </w:rPr>
      </w:pPr>
      <w:r>
        <w:rPr>
          <w:rFonts w:hint="eastAsia"/>
          <w:b/>
        </w:rPr>
        <w:t>2</w:t>
      </w:r>
      <w:r>
        <w:rPr>
          <w:b/>
        </w:rPr>
        <w:t>.评审标准</w:t>
      </w:r>
    </w:p>
    <w:p w14:paraId="62018624">
      <w:pPr>
        <w:spacing w:line="360" w:lineRule="auto"/>
        <w:ind w:firstLine="442" w:firstLineChars="200"/>
        <w:rPr>
          <w:b/>
        </w:rPr>
      </w:pPr>
      <w:r>
        <w:rPr>
          <w:rFonts w:hint="eastAsia"/>
          <w:b/>
        </w:rPr>
        <w:t>2</w:t>
      </w:r>
      <w:r>
        <w:rPr>
          <w:b/>
        </w:rPr>
        <w:t>.1步评审标准</w:t>
      </w:r>
    </w:p>
    <w:p w14:paraId="119ECF37">
      <w:pPr>
        <w:spacing w:line="360" w:lineRule="auto"/>
        <w:ind w:firstLine="440" w:firstLineChars="200"/>
      </w:pPr>
      <w:r>
        <w:rPr>
          <w:rFonts w:hint="eastAsia"/>
        </w:rPr>
        <w:t>2</w:t>
      </w:r>
      <w:r>
        <w:t>.1.1准：见评审办法前附表。</w:t>
      </w:r>
    </w:p>
    <w:p w14:paraId="71C265B8">
      <w:pPr>
        <w:spacing w:line="360" w:lineRule="auto"/>
        <w:ind w:firstLine="440" w:firstLineChars="200"/>
      </w:pPr>
      <w:r>
        <w:rPr>
          <w:rFonts w:hint="eastAsia"/>
        </w:rPr>
        <w:t>2</w:t>
      </w:r>
      <w:r>
        <w:t>.1.2准：见评审办法前附表。</w:t>
      </w:r>
    </w:p>
    <w:p w14:paraId="064F1C5E">
      <w:pPr>
        <w:spacing w:line="360" w:lineRule="auto"/>
        <w:ind w:firstLine="440" w:firstLineChars="200"/>
      </w:pPr>
      <w:r>
        <w:rPr>
          <w:rFonts w:hint="eastAsia"/>
        </w:rPr>
        <w:t>2</w:t>
      </w:r>
      <w:r>
        <w:t>.1.3标准：见评审办法前附表。</w:t>
      </w:r>
    </w:p>
    <w:p w14:paraId="24261F8E">
      <w:pPr>
        <w:spacing w:line="360" w:lineRule="auto"/>
        <w:ind w:firstLine="442" w:firstLineChars="200"/>
        <w:rPr>
          <w:b/>
        </w:rPr>
      </w:pPr>
      <w:r>
        <w:rPr>
          <w:rFonts w:hint="eastAsia"/>
          <w:b/>
        </w:rPr>
        <w:t>2</w:t>
      </w:r>
      <w:r>
        <w:rPr>
          <w:b/>
        </w:rPr>
        <w:t>.2评分标准</w:t>
      </w:r>
    </w:p>
    <w:p w14:paraId="1B66CE45">
      <w:pPr>
        <w:spacing w:line="360" w:lineRule="auto"/>
        <w:ind w:firstLine="440" w:firstLineChars="200"/>
      </w:pPr>
      <w:r>
        <w:rPr>
          <w:rFonts w:hint="eastAsia"/>
        </w:rPr>
        <w:t>2</w:t>
      </w:r>
      <w:r>
        <w:t>.2.1分值构成：见评审办法前附表。</w:t>
      </w:r>
    </w:p>
    <w:p w14:paraId="5588FA21">
      <w:pPr>
        <w:spacing w:line="360" w:lineRule="auto"/>
        <w:ind w:firstLine="440" w:firstLineChars="200"/>
      </w:pPr>
      <w:r>
        <w:rPr>
          <w:rFonts w:hint="eastAsia"/>
        </w:rPr>
        <w:t>2</w:t>
      </w:r>
      <w:r>
        <w:t>.2.2磋商报价部分：见评审办法前附表。</w:t>
      </w:r>
    </w:p>
    <w:p w14:paraId="27A0C25F">
      <w:pPr>
        <w:spacing w:line="360" w:lineRule="auto"/>
        <w:ind w:firstLine="440" w:firstLineChars="200"/>
      </w:pPr>
      <w:r>
        <w:rPr>
          <w:rFonts w:hint="eastAsia"/>
        </w:rPr>
        <w:t>2</w:t>
      </w:r>
      <w:r>
        <w:t>.2.3评审标准：见评审办法前附表。</w:t>
      </w:r>
    </w:p>
    <w:p w14:paraId="50F85C42">
      <w:pPr>
        <w:spacing w:line="360" w:lineRule="auto"/>
        <w:ind w:firstLine="442" w:firstLineChars="200"/>
        <w:rPr>
          <w:b/>
        </w:rPr>
      </w:pPr>
      <w:r>
        <w:rPr>
          <w:rFonts w:hint="eastAsia"/>
          <w:b/>
        </w:rPr>
        <w:t>3</w:t>
      </w:r>
      <w:r>
        <w:rPr>
          <w:b/>
        </w:rPr>
        <w:t>.评审程序</w:t>
      </w:r>
    </w:p>
    <w:p w14:paraId="6BDABD18">
      <w:pPr>
        <w:spacing w:line="360" w:lineRule="auto"/>
        <w:ind w:firstLine="442" w:firstLineChars="200"/>
        <w:rPr>
          <w:b/>
        </w:rPr>
      </w:pPr>
      <w:r>
        <w:rPr>
          <w:rFonts w:hint="eastAsia"/>
          <w:b/>
        </w:rPr>
        <w:t>3</w:t>
      </w:r>
      <w:r>
        <w:rPr>
          <w:b/>
        </w:rPr>
        <w:t>.1资格审查</w:t>
      </w:r>
    </w:p>
    <w:p w14:paraId="4928CA1B">
      <w:pPr>
        <w:spacing w:line="360" w:lineRule="auto"/>
        <w:ind w:firstLine="440" w:firstLineChars="200"/>
      </w:pPr>
      <w:r>
        <w:rPr>
          <w:rFonts w:hint="eastAsia"/>
        </w:rPr>
        <w:t>3</w:t>
      </w:r>
      <w:r>
        <w:t>.1.1磋商小组依据法律法规和磋商文件中规定的内容，对供应商的资格（提交的资格证明材料）进行审查。未通过资格审查的供应商不能进入下一阶段评审；通过资格审查的供应商不足 3家的，不得进入下一阶段评审，但本须知 3.1.2 条规定的情形除外。</w:t>
      </w:r>
    </w:p>
    <w:p w14:paraId="19AD23F2">
      <w:pPr>
        <w:spacing w:line="360" w:lineRule="auto"/>
        <w:ind w:firstLine="440" w:firstLineChars="200"/>
      </w:pPr>
      <w:r>
        <w:t>3.1.2采用竞争性磋商采购方式采购的政府购买服务项目（含政府和社会资本合作项目），在采购过程中通过资格审查的供应商（社会资本）只有2家的，竞争性磋商采购活动可以继续进行。</w:t>
      </w:r>
    </w:p>
    <w:p w14:paraId="10545044">
      <w:pPr>
        <w:spacing w:line="360" w:lineRule="auto"/>
        <w:ind w:firstLine="440" w:firstLineChars="200"/>
      </w:pPr>
      <w:r>
        <w:t>3.1.3信息查询的截止时点为投标截止时间，以采购人或代理机构在现场查询结果为准。查询记录与其他采购文件一并留存。</w:t>
      </w:r>
    </w:p>
    <w:p w14:paraId="137F9AAD">
      <w:pPr>
        <w:spacing w:line="360" w:lineRule="auto"/>
        <w:ind w:firstLine="440" w:firstLineChars="200"/>
      </w:pPr>
      <w:r>
        <w:t>不良信用记录指：供应商在中国政府采购网（</w:t>
      </w:r>
      <w:r>
        <w:fldChar w:fldCharType="begin"/>
      </w:r>
      <w:r>
        <w:instrText xml:space="preserve"> HYPERLINK "http://www.ccgp.gov.cn/" \h </w:instrText>
      </w:r>
      <w:r>
        <w:fldChar w:fldCharType="separate"/>
      </w:r>
      <w:r>
        <w:t>www.ccgp.gov.cn</w:t>
      </w:r>
      <w:r>
        <w:fldChar w:fldCharType="end"/>
      </w:r>
      <w:r>
        <w:t>）被列入政府采购严重违法失信行为记录名单，在中国执行信息公开网（zxgk.court.gov.cn）、“信用中国”网站（</w:t>
      </w:r>
      <w:r>
        <w:fldChar w:fldCharType="begin"/>
      </w:r>
      <w:r>
        <w:instrText xml:space="preserve"> HYPERLINK "http://www.creditchina.gov.cn/" \h </w:instrText>
      </w:r>
      <w:r>
        <w:fldChar w:fldCharType="separate"/>
      </w:r>
      <w:r>
        <w:t>www.creditchina.gov.cn</w:t>
      </w:r>
      <w:r>
        <w:fldChar w:fldCharType="end"/>
      </w:r>
      <w:r>
        <w:t>）被列入失信被执行人、重大税收违法失信主体。</w:t>
      </w:r>
    </w:p>
    <w:p w14:paraId="3CFEDE31">
      <w:pPr>
        <w:spacing w:line="360" w:lineRule="auto"/>
        <w:ind w:firstLine="440" w:firstLineChars="200"/>
      </w:pPr>
      <w:r>
        <w:t>以联合体形式参加政府采购活动的，联合体任何成员存在以上不良信用记录的，联合体响应文件将被认定为无效响应。</w:t>
      </w:r>
    </w:p>
    <w:p w14:paraId="3F844CC4">
      <w:pPr>
        <w:spacing w:line="360" w:lineRule="auto"/>
        <w:ind w:firstLine="440" w:firstLineChars="200"/>
      </w:pPr>
      <w:r>
        <w:t>查询及记录方式：采购代理机构经办人将查询网页打印并存档备查。供应商不良信用记录以采购人或采购代理机构查询结果为准。</w:t>
      </w:r>
    </w:p>
    <w:p w14:paraId="5A90F980">
      <w:pPr>
        <w:spacing w:line="360" w:lineRule="auto"/>
        <w:ind w:firstLine="440" w:firstLineChars="200"/>
      </w:pPr>
      <w:r>
        <w:t>在本磋商文件规定的查询时间之后，网站信息发生的任何变更均不再作为评审依据。供应商自行提供的与网站信息不一致的其他证明材料亦不作为资格审查依据。</w:t>
      </w:r>
    </w:p>
    <w:p w14:paraId="6575AFC8">
      <w:pPr>
        <w:spacing w:line="360" w:lineRule="auto"/>
        <w:ind w:firstLine="442" w:firstLineChars="200"/>
        <w:rPr>
          <w:b/>
        </w:rPr>
      </w:pPr>
      <w:r>
        <w:rPr>
          <w:rFonts w:hint="eastAsia"/>
          <w:b/>
        </w:rPr>
        <w:t>3</w:t>
      </w:r>
      <w:r>
        <w:rPr>
          <w:b/>
        </w:rPr>
        <w:t>.2符合性审查</w:t>
      </w:r>
    </w:p>
    <w:p w14:paraId="6680EC84">
      <w:pPr>
        <w:spacing w:line="360" w:lineRule="auto"/>
        <w:ind w:firstLine="440" w:firstLineChars="200"/>
      </w:pPr>
      <w:r>
        <w:rPr>
          <w:rFonts w:hint="eastAsia"/>
        </w:rPr>
        <w:t>3</w:t>
      </w:r>
      <w:r>
        <w:t>.2.1符合性审查是指依据磋商文件的规定，从响应文件的有效性和完整性对磋商文件的响应程度进行审查，以确定是否对磋商文件的实质性要求做出响应。未通过符合性审查的供应商不能进入下一阶段评审，其响应将被认定为无效响应；通过符合性审查的供应商数量不足3家的，不得作进一步的比较和评价。</w:t>
      </w:r>
    </w:p>
    <w:p w14:paraId="16433ABE">
      <w:pPr>
        <w:spacing w:line="360" w:lineRule="auto"/>
        <w:ind w:firstLine="440" w:firstLineChars="200"/>
      </w:pPr>
      <w:r>
        <w:rPr>
          <w:rFonts w:hint="eastAsia"/>
        </w:rPr>
        <w:t>3</w:t>
      </w:r>
      <w:r>
        <w:t>.2.2采用竞争性磋商采购方式采购的政府购买服务项目（含政府和社会资本合作项目），在</w:t>
      </w:r>
    </w:p>
    <w:p w14:paraId="45CEFDF3">
      <w:pPr>
        <w:spacing w:line="360" w:lineRule="auto"/>
        <w:ind w:firstLine="440" w:firstLineChars="200"/>
      </w:pPr>
      <w:r>
        <w:t>采购过程中通过符合性审查的供应商（社会资本）只有2家的，竞争性磋商采购活动可以继续进行。</w:t>
      </w:r>
    </w:p>
    <w:p w14:paraId="41BFAA3B">
      <w:pPr>
        <w:spacing w:line="360" w:lineRule="auto"/>
        <w:ind w:firstLine="440" w:firstLineChars="200"/>
      </w:pPr>
      <w:r>
        <w:rPr>
          <w:rFonts w:hint="eastAsia"/>
        </w:rPr>
        <w:t>3</w:t>
      </w:r>
      <w:r>
        <w:t>.2.3如发现下列情况之一的，其响应做废标处理：</w:t>
      </w:r>
    </w:p>
    <w:p w14:paraId="04FBD493">
      <w:pPr>
        <w:spacing w:line="360" w:lineRule="auto"/>
        <w:ind w:firstLine="440" w:firstLineChars="200"/>
      </w:pPr>
      <w:r>
        <w:t>响应文件制作机器码一致的；</w:t>
      </w:r>
    </w:p>
    <w:p w14:paraId="293581A7">
      <w:pPr>
        <w:spacing w:line="360" w:lineRule="auto"/>
        <w:ind w:firstLine="440" w:firstLineChars="200"/>
      </w:pPr>
      <w:r>
        <w:t>供应商的报价超过了磋商文件中规定的预算金额或者最高限价的；</w:t>
      </w:r>
    </w:p>
    <w:p w14:paraId="05EA01DE">
      <w:pPr>
        <w:spacing w:line="360" w:lineRule="auto"/>
        <w:ind w:firstLine="440" w:firstLineChars="200"/>
      </w:pPr>
      <w:r>
        <w:t xml:space="preserve">未通过初步评审的。 </w:t>
      </w:r>
    </w:p>
    <w:p w14:paraId="628456FF">
      <w:pPr>
        <w:spacing w:line="360" w:lineRule="auto"/>
        <w:ind w:firstLine="442" w:firstLineChars="200"/>
        <w:rPr>
          <w:b/>
        </w:rPr>
      </w:pPr>
      <w:r>
        <w:rPr>
          <w:b/>
        </w:rPr>
        <w:t>3.3磋商</w:t>
      </w:r>
    </w:p>
    <w:p w14:paraId="4B127D10">
      <w:pPr>
        <w:spacing w:line="360" w:lineRule="auto"/>
        <w:ind w:firstLine="440" w:firstLineChars="200"/>
      </w:pPr>
      <w:r>
        <w:rPr>
          <w:rFonts w:hint="eastAsia"/>
        </w:rPr>
        <w:t>3</w:t>
      </w:r>
      <w:r>
        <w:t>.3.1磋商小组将集中根据磋商文件规定的程序、评定成交的标准等事项与实质性响应磋商文件要求的供应商分别进行磋商。在磋商中，磋商的任何一方不得透露与磋商有关的其他供应商的技术资料、价格和其他信息。</w:t>
      </w:r>
    </w:p>
    <w:p w14:paraId="6559D599">
      <w:pPr>
        <w:spacing w:line="360" w:lineRule="auto"/>
        <w:ind w:firstLine="440" w:firstLineChars="200"/>
      </w:pPr>
      <w:r>
        <w:rPr>
          <w:rFonts w:hint="eastAsia"/>
        </w:rPr>
        <w:t>3</w:t>
      </w:r>
      <w:r>
        <w:t>.3.2</w:t>
      </w:r>
      <w:r>
        <w:rPr>
          <w:rFonts w:hint="eastAsia"/>
        </w:rPr>
        <w:t>磋商</w:t>
      </w:r>
      <w:r>
        <w:t>中，磋商小组可以根据磋商文件和磋商情况，经采购人代表确认后变动采购需求中的技术、服务要求以及合同草案条例等实质性内容。</w:t>
      </w:r>
    </w:p>
    <w:p w14:paraId="2108390A">
      <w:pPr>
        <w:spacing w:line="360" w:lineRule="auto"/>
        <w:ind w:firstLine="440" w:firstLineChars="200"/>
      </w:pPr>
      <w:r>
        <w:rPr>
          <w:rFonts w:hint="eastAsia"/>
        </w:rPr>
        <w:t>3</w:t>
      </w:r>
      <w:r>
        <w:t>.3.3作出实质性变动是磋商文件的有效组成部分，磋商小组将以书面形式同时通知所有参加磋商的供应商。</w:t>
      </w:r>
    </w:p>
    <w:p w14:paraId="6D62BD9E">
      <w:pPr>
        <w:spacing w:line="360" w:lineRule="auto"/>
        <w:ind w:firstLine="440" w:firstLineChars="200"/>
      </w:pPr>
      <w:r>
        <w:rPr>
          <w:rFonts w:hint="eastAsia"/>
        </w:rPr>
        <w:t>3</w:t>
      </w:r>
      <w:r>
        <w:t>.3.4按照磋商文件的变动情况和磋商小组的要求重新提交响应文件，并由其法定代表人或授权代表签字或者加盖公章。由授权代表签字的，应当附法定代表人（或非法人组织负责人）授权书。供应商为自然人的，应当由本人签字并附身份证明。</w:t>
      </w:r>
    </w:p>
    <w:p w14:paraId="54E1FF69">
      <w:pPr>
        <w:spacing w:line="360" w:lineRule="auto"/>
        <w:ind w:firstLine="442" w:firstLineChars="200"/>
        <w:rPr>
          <w:b/>
        </w:rPr>
      </w:pPr>
      <w:r>
        <w:rPr>
          <w:rFonts w:hint="eastAsia"/>
          <w:b/>
        </w:rPr>
        <w:t>3</w:t>
      </w:r>
      <w:r>
        <w:rPr>
          <w:b/>
        </w:rPr>
        <w:t>.4</w:t>
      </w:r>
      <w:r>
        <w:rPr>
          <w:rFonts w:hint="eastAsia"/>
          <w:b/>
        </w:rPr>
        <w:t>最后报</w:t>
      </w:r>
      <w:r>
        <w:rPr>
          <w:b/>
        </w:rPr>
        <w:t>价</w:t>
      </w:r>
    </w:p>
    <w:p w14:paraId="76E46F27">
      <w:pPr>
        <w:spacing w:line="360" w:lineRule="auto"/>
        <w:ind w:firstLine="440" w:firstLineChars="200"/>
      </w:pPr>
      <w:r>
        <w:rPr>
          <w:rFonts w:hint="eastAsia"/>
        </w:rPr>
        <w:t>3</w:t>
      </w:r>
      <w:r>
        <w:t>.4.1磋商结束后，磋商小组将要求所有实质性响应的供应商在规定时间内提交最后报价，且提交最后报价的供应商不少于 3 家，本须知第3.1.2条规定的情形除外。</w:t>
      </w:r>
    </w:p>
    <w:p w14:paraId="5EB67341">
      <w:pPr>
        <w:spacing w:line="360" w:lineRule="auto"/>
        <w:ind w:firstLine="440" w:firstLineChars="200"/>
      </w:pPr>
      <w:r>
        <w:rPr>
          <w:rFonts w:hint="eastAsia"/>
        </w:rPr>
        <w:t>3</w:t>
      </w:r>
      <w:r>
        <w:t>.4.2供应商响应文件的有效组成部分。</w:t>
      </w:r>
    </w:p>
    <w:p w14:paraId="31B2AA58">
      <w:pPr>
        <w:spacing w:line="360" w:lineRule="auto"/>
        <w:ind w:firstLine="440" w:firstLineChars="200"/>
      </w:pPr>
      <w:r>
        <w:t>3.4.3在提交最后报价之前，</w:t>
      </w:r>
      <w:r>
        <w:rPr>
          <w:rFonts w:hint="eastAsia"/>
        </w:rPr>
        <w:t>供应商</w:t>
      </w:r>
      <w:r>
        <w:t>可以根据磋商情况退出磋商，退出磋商不视为撤回响应文件，退出磋商不影响退出磋商的供应商对已经递交的响应文件承担法律、法规和磋商文件中规定的相应责任。采购人、采购代理机构应当退还退出磋商的供应商的保证金（如有）。</w:t>
      </w:r>
    </w:p>
    <w:p w14:paraId="2CBAFCF5">
      <w:pPr>
        <w:spacing w:line="360" w:lineRule="auto"/>
        <w:ind w:firstLine="442" w:firstLineChars="200"/>
        <w:rPr>
          <w:b/>
        </w:rPr>
      </w:pPr>
      <w:r>
        <w:rPr>
          <w:rFonts w:hint="eastAsia"/>
          <w:b/>
        </w:rPr>
        <w:t>3</w:t>
      </w:r>
      <w:r>
        <w:rPr>
          <w:b/>
        </w:rPr>
        <w:t>.5评价</w:t>
      </w:r>
    </w:p>
    <w:p w14:paraId="7852DFF2">
      <w:pPr>
        <w:spacing w:line="360" w:lineRule="auto"/>
        <w:ind w:firstLine="440" w:firstLineChars="200"/>
      </w:pPr>
      <w:r>
        <w:rPr>
          <w:rFonts w:hint="eastAsia"/>
        </w:rPr>
        <w:t>3</w:t>
      </w:r>
      <w:r>
        <w:t>.5.1本章第 2.2 款规定的量化因素和分值进行打分，并计算出综合评分得分。</w:t>
      </w:r>
    </w:p>
    <w:p w14:paraId="1EF617D4">
      <w:pPr>
        <w:spacing w:line="360" w:lineRule="auto"/>
        <w:ind w:firstLine="440" w:firstLineChars="200"/>
      </w:pPr>
      <w:r>
        <w:t>3.5.2算保留小数点后两位，小数点后第三位“四舍五入”。</w:t>
      </w:r>
    </w:p>
    <w:p w14:paraId="4D4AB923">
      <w:pPr>
        <w:spacing w:line="360" w:lineRule="auto"/>
        <w:ind w:firstLine="440" w:firstLineChars="200"/>
      </w:pPr>
      <w:r>
        <w:t>3.5.3最终得分以全部小组成员打分的算术平均值为准，作为该供应商的最终得分。</w:t>
      </w:r>
    </w:p>
    <w:p w14:paraId="63398B97">
      <w:pPr>
        <w:spacing w:line="360" w:lineRule="auto"/>
        <w:ind w:firstLine="440" w:firstLineChars="200"/>
      </w:pPr>
      <w:r>
        <w:t>3.5.4在磋商过程中，凡遇到磋商文件中无界定或界定不清、前后不一致使磋商小组意见有分歧且又难以协商一致的问题，均由磋商小组予以表决，获半数以上同意的即为通过，未获半数同意的即为否决。</w:t>
      </w:r>
    </w:p>
    <w:p w14:paraId="18C80638">
      <w:pPr>
        <w:spacing w:line="360" w:lineRule="auto"/>
        <w:ind w:firstLine="442" w:firstLineChars="200"/>
        <w:rPr>
          <w:b/>
        </w:rPr>
      </w:pPr>
      <w:r>
        <w:rPr>
          <w:rFonts w:hint="eastAsia"/>
          <w:b/>
        </w:rPr>
        <w:t>3</w:t>
      </w:r>
      <w:r>
        <w:rPr>
          <w:b/>
        </w:rPr>
        <w:t>.6响应文件的澄清和补正</w:t>
      </w:r>
    </w:p>
    <w:p w14:paraId="15FCB607">
      <w:pPr>
        <w:spacing w:line="360" w:lineRule="auto"/>
        <w:ind w:firstLine="440" w:firstLineChars="200"/>
      </w:pPr>
      <w:r>
        <w:rPr>
          <w:rFonts w:hint="eastAsia"/>
        </w:rPr>
        <w:t>3</w:t>
      </w:r>
      <w:r>
        <w:t>.6.1在磋商期间，磋商小组可以书面要求供应商对其响应文件中含义不明确、同类问题表述不一致或者有明显文字和计算错误的内容作必要的澄清、说明或补正。供应商的澄清、说明或补正应在磋商小组规定的时间内以书面方式进行，并不得超出响应文件范围或者改变响应文件的实质性内容。供应商拒不进行澄清、说明、补正的，或者不能在规定时间内作出书面澄清、说明、补正的，其响应文件将被作为无效响应处理。</w:t>
      </w:r>
    </w:p>
    <w:p w14:paraId="7A7F07D1">
      <w:pPr>
        <w:spacing w:line="360" w:lineRule="auto"/>
        <w:ind w:firstLine="440" w:firstLineChars="200"/>
      </w:pPr>
      <w:r>
        <w:t>供应商的澄清、说明或者补正应当由法定代表人（或非法人组织负责人）或其授权代表签字或者加盖公章。供应商为自然人的，应当由本人签字并附身份证明。</w:t>
      </w:r>
    </w:p>
    <w:p w14:paraId="62091A7A">
      <w:pPr>
        <w:spacing w:line="360" w:lineRule="auto"/>
        <w:ind w:firstLine="440" w:firstLineChars="200"/>
      </w:pPr>
      <w:r>
        <w:t>供应商的澄清、说明或补正将作为响应文件的一部分。</w:t>
      </w:r>
    </w:p>
    <w:p w14:paraId="7A37A0EA">
      <w:pPr>
        <w:spacing w:line="360" w:lineRule="auto"/>
        <w:ind w:firstLine="440" w:firstLineChars="200"/>
      </w:pPr>
      <w:r>
        <w:t xml:space="preserve"> 3.6.2响应文件报价出现前后不一致的，按照下列规定修正：</w:t>
      </w:r>
    </w:p>
    <w:p w14:paraId="13A55624">
      <w:pPr>
        <w:spacing w:line="360" w:lineRule="auto"/>
        <w:ind w:firstLine="440" w:firstLineChars="200"/>
      </w:pPr>
      <w:r>
        <w:t>大写金额和小写金额不一致的，以大写金额为准，但大写金额文字存在错误的，应当先对大写金额的文字错误进行澄清、说明或者更正，再行修正；</w:t>
      </w:r>
    </w:p>
    <w:p w14:paraId="6CDDF895">
      <w:pPr>
        <w:spacing w:line="360" w:lineRule="auto"/>
        <w:ind w:firstLine="440" w:firstLineChars="200"/>
      </w:pPr>
      <w:r>
        <w:t>总价金额与按单价汇总金额不一致的，以单价金额计算结果为准，但单价或者单价汇总金额存在数字或者文字错误的，应当先对数字或者文字错误进行澄清、说明或者更正，再行修正。</w:t>
      </w:r>
    </w:p>
    <w:p w14:paraId="7EAD04B7">
      <w:pPr>
        <w:spacing w:line="360" w:lineRule="auto"/>
        <w:ind w:firstLine="440" w:firstLineChars="200"/>
      </w:pPr>
      <w:r>
        <w:t>单价金额小数点或者百分比有明显错位的，以总价为准，修正单价；</w:t>
      </w:r>
    </w:p>
    <w:p w14:paraId="44DA2F72">
      <w:pPr>
        <w:spacing w:line="360" w:lineRule="auto"/>
        <w:ind w:firstLine="440" w:firstLineChars="200"/>
      </w:pPr>
      <w:r>
        <w:t>同时出现两种以上不一致的，按照前款规定的顺序修正。修正后的报价经供应商确认后产生约束力，供应商不确认的，其响应文件将被认定为无效响应。</w:t>
      </w:r>
    </w:p>
    <w:p w14:paraId="6C95C515">
      <w:pPr>
        <w:spacing w:line="360" w:lineRule="auto"/>
        <w:ind w:firstLine="440" w:firstLineChars="200"/>
      </w:pPr>
      <w:r>
        <w:t>3.6.3磋商小组认为供应商的最后报价明显低于其他通过符合性审查供应商的报价，有可能影响产品质量或者不能诚信履约的，应当要求其在磋商现场合理的时间内提供书面说明，必要时提交相关证明材料；供应商不能证明其报价合理性的，磋商小组应当将其作为无效响应处理。</w:t>
      </w:r>
    </w:p>
    <w:p w14:paraId="530F1909">
      <w:pPr>
        <w:spacing w:line="360" w:lineRule="auto"/>
        <w:ind w:firstLine="442" w:firstLineChars="200"/>
        <w:rPr>
          <w:b/>
        </w:rPr>
      </w:pPr>
      <w:r>
        <w:rPr>
          <w:rFonts w:hint="eastAsia"/>
          <w:b/>
        </w:rPr>
        <w:t>3</w:t>
      </w:r>
      <w:r>
        <w:rPr>
          <w:b/>
        </w:rPr>
        <w:t>.7成交候选供应商的推荐原则及标准</w:t>
      </w:r>
    </w:p>
    <w:p w14:paraId="22C71020">
      <w:pPr>
        <w:spacing w:line="360" w:lineRule="auto"/>
        <w:ind w:firstLine="440" w:firstLineChars="200"/>
      </w:pPr>
      <w:r>
        <w:t>3.7.1磋商结束后，除了算数修正和落实政府采购政策需进行的价格扣除外，不对供应商的响应价格进行任何调整。评审结果按照得分由高至低的顺序排序。</w:t>
      </w:r>
    </w:p>
    <w:p w14:paraId="3B906528">
      <w:pPr>
        <w:spacing w:line="360" w:lineRule="auto"/>
        <w:ind w:firstLine="440" w:firstLineChars="200"/>
      </w:pPr>
      <w:r>
        <w:rPr>
          <w:rFonts w:hint="eastAsia"/>
        </w:rPr>
        <w:t>3</w:t>
      </w:r>
      <w:r>
        <w:t>.7.2除第二章“供应商须知前附表”授权直接确定成交供应商外，磋商小组按照得分由高到低的顺序推荐成交候选供应商。</w:t>
      </w:r>
    </w:p>
    <w:p w14:paraId="73A6487F">
      <w:pPr>
        <w:spacing w:line="360" w:lineRule="auto"/>
        <w:ind w:firstLine="440" w:firstLineChars="200"/>
      </w:pPr>
      <w:r>
        <w:rPr>
          <w:rFonts w:hint="eastAsia"/>
        </w:rPr>
        <w:t>3</w:t>
      </w:r>
      <w:r>
        <w:t>.7.3磋商小组完成评审后，应当向采购人提交书面评审报告。</w:t>
      </w:r>
    </w:p>
    <w:p w14:paraId="6755B675">
      <w:pPr>
        <w:spacing w:line="360" w:lineRule="auto"/>
        <w:ind w:firstLine="440" w:firstLineChars="200"/>
      </w:pPr>
      <w:r>
        <w:rPr>
          <w:rFonts w:hint="eastAsia"/>
        </w:rPr>
        <w:t>3</w:t>
      </w:r>
      <w:r>
        <w:t>.7.4因推荐成交候选供应商名单产生其他问题，由磋商小组集体研究处理。</w:t>
      </w:r>
    </w:p>
    <w:p w14:paraId="06F8AB4F">
      <w:pPr>
        <w:pStyle w:val="75"/>
        <w:rPr>
          <w:sz w:val="21"/>
        </w:rPr>
        <w:sectPr>
          <w:pgSz w:w="11920" w:h="16850"/>
          <w:pgMar w:top="1420" w:right="992" w:bottom="1100" w:left="1133" w:header="0" w:footer="913" w:gutter="0"/>
          <w:cols w:space="720" w:num="1"/>
        </w:sectPr>
      </w:pPr>
    </w:p>
    <w:p w14:paraId="6994342C">
      <w:pPr>
        <w:pStyle w:val="2"/>
        <w:tabs>
          <w:tab w:val="left" w:pos="1449"/>
        </w:tabs>
        <w:rPr>
          <w:rFonts w:ascii="宋体" w:hAnsi="宋体" w:eastAsia="宋体"/>
        </w:rPr>
      </w:pPr>
      <w:bookmarkStart w:id="18" w:name="第四章__合同条款及格式"/>
      <w:bookmarkEnd w:id="18"/>
      <w:bookmarkStart w:id="19" w:name="_Toc202272255"/>
      <w:r>
        <w:rPr>
          <w:rFonts w:ascii="宋体" w:hAnsi="宋体" w:eastAsia="宋体"/>
        </w:rPr>
        <w:t>第四</w:t>
      </w:r>
      <w:r>
        <w:rPr>
          <w:rFonts w:ascii="宋体" w:hAnsi="宋体" w:eastAsia="宋体"/>
          <w:spacing w:val="-10"/>
        </w:rPr>
        <w:t>章</w:t>
      </w:r>
      <w:r>
        <w:rPr>
          <w:rFonts w:ascii="宋体" w:hAnsi="宋体" w:eastAsia="宋体"/>
        </w:rPr>
        <w:tab/>
      </w:r>
      <w:r>
        <w:rPr>
          <w:rFonts w:ascii="宋体" w:hAnsi="宋体" w:eastAsia="宋体"/>
        </w:rPr>
        <w:t>合同条款及格</w:t>
      </w:r>
      <w:r>
        <w:rPr>
          <w:rFonts w:ascii="宋体" w:hAnsi="宋体" w:eastAsia="宋体"/>
          <w:spacing w:val="-10"/>
        </w:rPr>
        <w:t>式</w:t>
      </w:r>
      <w:bookmarkEnd w:id="19"/>
    </w:p>
    <w:p w14:paraId="0AAF66BE">
      <w:pPr>
        <w:pStyle w:val="10"/>
        <w:spacing w:before="89"/>
        <w:ind w:left="3164" w:firstLine="0"/>
        <w:rPr>
          <w:rFonts w:ascii="宋体" w:hAnsi="宋体" w:eastAsia="宋体"/>
        </w:rPr>
      </w:pPr>
      <w:r>
        <w:rPr>
          <w:rFonts w:ascii="宋体" w:hAnsi="宋体" w:eastAsia="宋体"/>
          <w:spacing w:val="-2"/>
        </w:rPr>
        <w:t>合同条款及格式（以实际签订为准</w:t>
      </w:r>
      <w:r>
        <w:rPr>
          <w:rFonts w:ascii="宋体" w:hAnsi="宋体" w:eastAsia="宋体"/>
          <w:spacing w:val="-10"/>
        </w:rPr>
        <w:t>）</w:t>
      </w:r>
    </w:p>
    <w:p w14:paraId="76F5882E">
      <w:pPr>
        <w:pStyle w:val="18"/>
        <w:rPr>
          <w:sz w:val="20"/>
        </w:rPr>
      </w:pPr>
    </w:p>
    <w:p w14:paraId="796A7253">
      <w:pPr>
        <w:spacing w:line="460" w:lineRule="exact"/>
        <w:ind w:firstLine="562" w:firstLineChars="200"/>
        <w:jc w:val="center"/>
        <w:rPr>
          <w:b/>
          <w:bCs/>
          <w:color w:val="000000"/>
          <w:sz w:val="28"/>
        </w:rPr>
      </w:pPr>
      <w:r>
        <w:rPr>
          <w:rFonts w:hint="eastAsia"/>
          <w:b/>
          <w:bCs/>
          <w:color w:val="000000"/>
          <w:sz w:val="28"/>
        </w:rPr>
        <w:t>第一部分 合同协议书</w:t>
      </w:r>
    </w:p>
    <w:p w14:paraId="2AB76283">
      <w:pPr>
        <w:spacing w:line="460" w:lineRule="exact"/>
        <w:rPr>
          <w:color w:val="000000"/>
        </w:rPr>
      </w:pPr>
      <w:r>
        <w:rPr>
          <w:rFonts w:hint="eastAsia"/>
          <w:b/>
          <w:bCs/>
          <w:color w:val="000000"/>
        </w:rPr>
        <w:t>发包人（全称）</w:t>
      </w:r>
      <w:r>
        <w:rPr>
          <w:rFonts w:hint="eastAsia"/>
          <w:color w:val="000000"/>
        </w:rPr>
        <w:t xml:space="preserve">： </w:t>
      </w:r>
      <w:r>
        <w:rPr>
          <w:rFonts w:hint="eastAsia"/>
          <w:color w:val="000000"/>
          <w:u w:val="single"/>
        </w:rPr>
        <w:t xml:space="preserve">                                            </w:t>
      </w:r>
      <w:r>
        <w:rPr>
          <w:rFonts w:hint="eastAsia"/>
          <w:color w:val="000000"/>
        </w:rPr>
        <w:t xml:space="preserve">        </w:t>
      </w:r>
    </w:p>
    <w:p w14:paraId="2E2CA9BE">
      <w:pPr>
        <w:spacing w:line="460" w:lineRule="exact"/>
        <w:rPr>
          <w:color w:val="000000"/>
        </w:rPr>
      </w:pPr>
      <w:r>
        <w:rPr>
          <w:rFonts w:hint="eastAsia"/>
          <w:b/>
          <w:bCs/>
          <w:color w:val="000000"/>
        </w:rPr>
        <w:t xml:space="preserve">承包人（全称）： </w:t>
      </w:r>
      <w:r>
        <w:rPr>
          <w:rFonts w:hint="eastAsia"/>
          <w:color w:val="000000"/>
          <w:u w:val="single"/>
        </w:rPr>
        <w:t xml:space="preserve">                                            </w:t>
      </w:r>
      <w:r>
        <w:rPr>
          <w:rFonts w:hint="eastAsia"/>
          <w:color w:val="000000"/>
        </w:rPr>
        <w:t xml:space="preserve">       </w:t>
      </w:r>
    </w:p>
    <w:p w14:paraId="2A6F6F84">
      <w:pPr>
        <w:spacing w:line="460" w:lineRule="exact"/>
        <w:ind w:firstLine="440" w:firstLineChars="200"/>
        <w:rPr>
          <w:color w:val="000000"/>
        </w:rPr>
      </w:pPr>
      <w:r>
        <w:rPr>
          <w:rFonts w:hint="eastAsia"/>
          <w:color w:val="000000"/>
        </w:rPr>
        <w:t>根据《中华人民共和国民法典》、《中华人民共和国建筑法》及有关法律规定，遵循平等、自愿、公平和诚实信用的原则，双方就</w:t>
      </w:r>
      <w:r>
        <w:rPr>
          <w:rFonts w:hint="eastAsia"/>
          <w:color w:val="000000"/>
          <w:u w:val="single"/>
        </w:rPr>
        <w:t xml:space="preserve">                             </w:t>
      </w:r>
      <w:r>
        <w:rPr>
          <w:rFonts w:hint="eastAsia"/>
          <w:color w:val="000000"/>
        </w:rPr>
        <w:t>及有关事项协商一致，共同达成如下协议：</w:t>
      </w:r>
    </w:p>
    <w:p w14:paraId="2ADFDE90">
      <w:pPr>
        <w:spacing w:line="460" w:lineRule="exact"/>
        <w:rPr>
          <w:b/>
          <w:bCs/>
          <w:color w:val="000000"/>
        </w:rPr>
      </w:pPr>
      <w:bookmarkStart w:id="20" w:name="_Toc351203481"/>
      <w:r>
        <w:rPr>
          <w:rFonts w:hint="eastAsia"/>
          <w:b/>
          <w:bCs/>
          <w:color w:val="000000"/>
        </w:rPr>
        <w:t>一、工程概况</w:t>
      </w:r>
      <w:bookmarkEnd w:id="20"/>
    </w:p>
    <w:p w14:paraId="3DAD9FD2">
      <w:pPr>
        <w:spacing w:line="460" w:lineRule="exact"/>
        <w:ind w:firstLine="440" w:firstLineChars="200"/>
        <w:rPr>
          <w:color w:val="000000"/>
          <w:u w:val="single"/>
        </w:rPr>
      </w:pPr>
      <w:r>
        <w:rPr>
          <w:rFonts w:hint="eastAsia"/>
          <w:color w:val="000000"/>
        </w:rPr>
        <w:t xml:space="preserve">1.工程名称： </w:t>
      </w:r>
      <w:r>
        <w:rPr>
          <w:rFonts w:hint="eastAsia"/>
          <w:color w:val="000000"/>
          <w:u w:val="single"/>
        </w:rPr>
        <w:t xml:space="preserve">                                             </w:t>
      </w:r>
    </w:p>
    <w:p w14:paraId="1A0D6503">
      <w:pPr>
        <w:spacing w:line="460" w:lineRule="exact"/>
        <w:ind w:firstLine="440" w:firstLineChars="200"/>
        <w:rPr>
          <w:color w:val="000000"/>
        </w:rPr>
      </w:pPr>
      <w:r>
        <w:rPr>
          <w:rFonts w:hint="eastAsia"/>
          <w:color w:val="000000"/>
        </w:rPr>
        <w:t xml:space="preserve">2.工程地点： </w:t>
      </w:r>
      <w:r>
        <w:rPr>
          <w:rFonts w:hint="eastAsia"/>
          <w:color w:val="000000"/>
          <w:u w:val="single"/>
        </w:rPr>
        <w:t xml:space="preserve">                                             </w:t>
      </w:r>
    </w:p>
    <w:p w14:paraId="7E77A400">
      <w:pPr>
        <w:spacing w:line="460" w:lineRule="exact"/>
        <w:ind w:firstLine="440" w:firstLineChars="200"/>
        <w:rPr>
          <w:color w:val="000000"/>
        </w:rPr>
      </w:pPr>
      <w:r>
        <w:rPr>
          <w:rFonts w:hint="eastAsia"/>
          <w:color w:val="000000"/>
        </w:rPr>
        <w:t xml:space="preserve">3.工程立项批准文号： </w:t>
      </w:r>
      <w:r>
        <w:rPr>
          <w:rFonts w:hint="eastAsia"/>
          <w:color w:val="000000"/>
          <w:u w:val="single"/>
        </w:rPr>
        <w:t xml:space="preserve">                                     </w:t>
      </w:r>
    </w:p>
    <w:p w14:paraId="65F89721">
      <w:pPr>
        <w:spacing w:line="460" w:lineRule="exact"/>
        <w:ind w:firstLine="440" w:firstLineChars="200"/>
        <w:rPr>
          <w:color w:val="000000"/>
        </w:rPr>
      </w:pPr>
      <w:r>
        <w:rPr>
          <w:rFonts w:hint="eastAsia"/>
          <w:color w:val="000000"/>
        </w:rPr>
        <w:t xml:space="preserve">4.资金来源： </w:t>
      </w:r>
      <w:r>
        <w:rPr>
          <w:rFonts w:hint="eastAsia"/>
          <w:color w:val="000000"/>
          <w:u w:val="single"/>
        </w:rPr>
        <w:t xml:space="preserve">                                     </w:t>
      </w:r>
    </w:p>
    <w:p w14:paraId="08495ADB">
      <w:pPr>
        <w:spacing w:line="460" w:lineRule="exact"/>
        <w:ind w:firstLine="440" w:firstLineChars="200"/>
        <w:rPr>
          <w:color w:val="000000"/>
          <w:u w:val="single"/>
        </w:rPr>
      </w:pPr>
      <w:r>
        <w:rPr>
          <w:rFonts w:hint="eastAsia"/>
          <w:color w:val="000000"/>
        </w:rPr>
        <w:t>5.工程内容：</w:t>
      </w:r>
      <w:r>
        <w:rPr>
          <w:rFonts w:hint="eastAsia"/>
          <w:color w:val="000000"/>
          <w:u w:val="single"/>
        </w:rPr>
        <w:t xml:space="preserve">                                </w:t>
      </w:r>
    </w:p>
    <w:p w14:paraId="2BD5ED2C">
      <w:pPr>
        <w:numPr>
          <w:ilvl w:val="0"/>
          <w:numId w:val="6"/>
        </w:numPr>
        <w:autoSpaceDE/>
        <w:autoSpaceDN/>
        <w:spacing w:line="460" w:lineRule="exact"/>
        <w:ind w:firstLine="440" w:firstLineChars="200"/>
        <w:jc w:val="both"/>
        <w:rPr>
          <w:color w:val="000000"/>
        </w:rPr>
      </w:pPr>
      <w:r>
        <w:rPr>
          <w:rFonts w:hint="eastAsia"/>
          <w:color w:val="000000"/>
        </w:rPr>
        <w:t>工程承包范围：</w:t>
      </w:r>
      <w:r>
        <w:rPr>
          <w:rFonts w:hint="eastAsia"/>
          <w:color w:val="000000"/>
          <w:u w:val="single"/>
        </w:rPr>
        <w:t xml:space="preserve">                            </w:t>
      </w:r>
      <w:r>
        <w:rPr>
          <w:rFonts w:hint="eastAsia"/>
          <w:color w:val="000000"/>
        </w:rPr>
        <w:t xml:space="preserve"> 。</w:t>
      </w:r>
    </w:p>
    <w:p w14:paraId="17E24DF0">
      <w:pPr>
        <w:spacing w:line="460" w:lineRule="exact"/>
        <w:rPr>
          <w:color w:val="000000"/>
        </w:rPr>
      </w:pPr>
      <w:r>
        <w:rPr>
          <w:rFonts w:hint="eastAsia"/>
          <w:b/>
          <w:bCs/>
          <w:color w:val="000000"/>
        </w:rPr>
        <w:t xml:space="preserve"> </w:t>
      </w:r>
      <w:bookmarkStart w:id="21" w:name="_Toc351203482"/>
      <w:r>
        <w:rPr>
          <w:rFonts w:hint="eastAsia"/>
          <w:b/>
          <w:bCs/>
          <w:color w:val="000000"/>
        </w:rPr>
        <w:t>二、合同工期</w:t>
      </w:r>
      <w:bookmarkEnd w:id="21"/>
    </w:p>
    <w:p w14:paraId="055441E4">
      <w:pPr>
        <w:spacing w:line="460" w:lineRule="exact"/>
        <w:ind w:firstLine="440" w:firstLineChars="200"/>
        <w:rPr>
          <w:color w:val="000000"/>
        </w:rPr>
      </w:pPr>
      <w:r>
        <w:rPr>
          <w:rFonts w:hint="eastAsia"/>
          <w:color w:val="000000"/>
        </w:rPr>
        <w:t xml:space="preserve">计划开工日期： </w:t>
      </w:r>
      <w:r>
        <w:rPr>
          <w:rFonts w:hint="eastAsia"/>
          <w:color w:val="000000"/>
          <w:u w:val="single"/>
        </w:rPr>
        <w:t xml:space="preserve">        </w:t>
      </w:r>
      <w:r>
        <w:rPr>
          <w:rFonts w:hint="eastAsia"/>
          <w:color w:val="000000"/>
        </w:rPr>
        <w:t xml:space="preserve">年 </w:t>
      </w:r>
      <w:r>
        <w:rPr>
          <w:rFonts w:hint="eastAsia"/>
          <w:color w:val="000000"/>
          <w:u w:val="single"/>
        </w:rPr>
        <w:t xml:space="preserve">       </w:t>
      </w:r>
      <w:r>
        <w:rPr>
          <w:rFonts w:hint="eastAsia"/>
          <w:color w:val="000000"/>
        </w:rPr>
        <w:t xml:space="preserve">月 </w:t>
      </w:r>
      <w:r>
        <w:rPr>
          <w:rFonts w:hint="eastAsia"/>
          <w:color w:val="000000"/>
          <w:u w:val="single"/>
        </w:rPr>
        <w:t xml:space="preserve">      </w:t>
      </w:r>
      <w:r>
        <w:rPr>
          <w:rFonts w:hint="eastAsia"/>
          <w:color w:val="000000"/>
        </w:rPr>
        <w:t>日。</w:t>
      </w:r>
    </w:p>
    <w:p w14:paraId="4A237CA0">
      <w:pPr>
        <w:spacing w:line="460" w:lineRule="exact"/>
        <w:ind w:firstLine="440" w:firstLineChars="200"/>
        <w:rPr>
          <w:color w:val="000000"/>
        </w:rPr>
      </w:pPr>
      <w:r>
        <w:rPr>
          <w:rFonts w:hint="eastAsia"/>
          <w:color w:val="000000"/>
        </w:rPr>
        <w:t xml:space="preserve">计划竣工日期： </w:t>
      </w:r>
      <w:r>
        <w:rPr>
          <w:rFonts w:hint="eastAsia"/>
          <w:color w:val="000000"/>
          <w:u w:val="single"/>
        </w:rPr>
        <w:t xml:space="preserve">        </w:t>
      </w:r>
      <w:r>
        <w:rPr>
          <w:rFonts w:hint="eastAsia"/>
          <w:color w:val="000000"/>
        </w:rPr>
        <w:t xml:space="preserve">年 </w:t>
      </w:r>
      <w:r>
        <w:rPr>
          <w:rFonts w:hint="eastAsia"/>
          <w:color w:val="000000"/>
          <w:u w:val="single"/>
        </w:rPr>
        <w:t xml:space="preserve">       </w:t>
      </w:r>
      <w:r>
        <w:rPr>
          <w:rFonts w:hint="eastAsia"/>
          <w:color w:val="000000"/>
        </w:rPr>
        <w:t xml:space="preserve">月 </w:t>
      </w:r>
      <w:r>
        <w:rPr>
          <w:rFonts w:hint="eastAsia"/>
          <w:color w:val="000000"/>
          <w:u w:val="single"/>
        </w:rPr>
        <w:t xml:space="preserve">      </w:t>
      </w:r>
      <w:r>
        <w:rPr>
          <w:rFonts w:hint="eastAsia"/>
          <w:color w:val="000000"/>
        </w:rPr>
        <w:t>日。</w:t>
      </w:r>
    </w:p>
    <w:p w14:paraId="18AC52F5">
      <w:pPr>
        <w:spacing w:line="460" w:lineRule="exact"/>
        <w:ind w:firstLine="440" w:firstLineChars="200"/>
        <w:rPr>
          <w:color w:val="000000"/>
        </w:rPr>
      </w:pPr>
      <w:r>
        <w:rPr>
          <w:rFonts w:hint="eastAsia"/>
          <w:color w:val="000000"/>
        </w:rPr>
        <w:t xml:space="preserve">工期总日历天数： </w:t>
      </w:r>
      <w:r>
        <w:rPr>
          <w:rFonts w:hint="eastAsia"/>
          <w:color w:val="000000"/>
          <w:u w:val="single"/>
        </w:rPr>
        <w:t xml:space="preserve">     </w:t>
      </w:r>
      <w:r>
        <w:rPr>
          <w:rFonts w:hint="eastAsia"/>
          <w:color w:val="000000"/>
        </w:rPr>
        <w:t>天。工期总日历天数与根据前述计划开竣工日期计算的工期天数不一致的，以工期总日历天数为准。</w:t>
      </w:r>
    </w:p>
    <w:p w14:paraId="30736FBB">
      <w:pPr>
        <w:spacing w:line="460" w:lineRule="exact"/>
        <w:rPr>
          <w:b/>
          <w:bCs/>
          <w:color w:val="000000"/>
        </w:rPr>
      </w:pPr>
      <w:r>
        <w:rPr>
          <w:rFonts w:hint="eastAsia"/>
          <w:b/>
          <w:bCs/>
          <w:color w:val="000000"/>
        </w:rPr>
        <w:t xml:space="preserve"> </w:t>
      </w:r>
      <w:bookmarkStart w:id="22" w:name="_Toc351203483"/>
      <w:r>
        <w:rPr>
          <w:rFonts w:hint="eastAsia"/>
          <w:b/>
          <w:bCs/>
          <w:color w:val="000000"/>
        </w:rPr>
        <w:t>三、质量标准</w:t>
      </w:r>
      <w:bookmarkEnd w:id="22"/>
    </w:p>
    <w:p w14:paraId="66AAF626">
      <w:pPr>
        <w:spacing w:line="460" w:lineRule="exact"/>
        <w:ind w:firstLine="440" w:firstLineChars="200"/>
        <w:rPr>
          <w:color w:val="000000"/>
        </w:rPr>
      </w:pPr>
      <w:r>
        <w:rPr>
          <w:rFonts w:hint="eastAsia"/>
          <w:color w:val="000000"/>
        </w:rPr>
        <w:t xml:space="preserve">工程质量符合 </w:t>
      </w:r>
      <w:r>
        <w:rPr>
          <w:rFonts w:hint="eastAsia"/>
          <w:color w:val="000000"/>
          <w:u w:val="single"/>
        </w:rPr>
        <w:t xml:space="preserve">                            </w:t>
      </w:r>
      <w:r>
        <w:rPr>
          <w:rFonts w:hint="eastAsia"/>
          <w:color w:val="000000"/>
        </w:rPr>
        <w:t>标准。</w:t>
      </w:r>
    </w:p>
    <w:p w14:paraId="68B26EA5">
      <w:pPr>
        <w:spacing w:line="460" w:lineRule="exact"/>
        <w:rPr>
          <w:color w:val="000000"/>
        </w:rPr>
      </w:pPr>
      <w:r>
        <w:rPr>
          <w:rFonts w:hint="eastAsia"/>
          <w:color w:val="000000"/>
        </w:rPr>
        <w:t xml:space="preserve"> </w:t>
      </w:r>
      <w:bookmarkStart w:id="23" w:name="_Toc351203484"/>
      <w:r>
        <w:rPr>
          <w:rFonts w:hint="eastAsia"/>
          <w:b/>
          <w:bCs/>
          <w:color w:val="000000"/>
        </w:rPr>
        <w:t>四、签约合同价与合同价格形式</w:t>
      </w:r>
      <w:bookmarkEnd w:id="23"/>
      <w:r>
        <w:rPr>
          <w:rFonts w:hint="eastAsia"/>
          <w:color w:val="000000"/>
        </w:rPr>
        <w:tab/>
      </w:r>
    </w:p>
    <w:p w14:paraId="414E71C8">
      <w:pPr>
        <w:spacing w:line="460" w:lineRule="exact"/>
        <w:ind w:firstLine="440" w:firstLineChars="200"/>
        <w:rPr>
          <w:color w:val="000000"/>
        </w:rPr>
      </w:pPr>
      <w:r>
        <w:rPr>
          <w:rFonts w:hint="eastAsia"/>
          <w:color w:val="000000"/>
        </w:rPr>
        <w:t>1.签约合同价为：</w:t>
      </w:r>
    </w:p>
    <w:p w14:paraId="47F10606">
      <w:pPr>
        <w:spacing w:line="460" w:lineRule="exact"/>
        <w:ind w:firstLine="440" w:firstLineChars="200"/>
        <w:rPr>
          <w:color w:val="000000"/>
        </w:rPr>
      </w:pPr>
      <w:r>
        <w:rPr>
          <w:rFonts w:hint="eastAsia"/>
          <w:color w:val="000000"/>
        </w:rPr>
        <w:t>人民币（大写）</w:t>
      </w:r>
      <w:r>
        <w:rPr>
          <w:rFonts w:hint="eastAsia"/>
          <w:color w:val="000000"/>
          <w:u w:val="single"/>
        </w:rPr>
        <w:t xml:space="preserve">                </w:t>
      </w:r>
      <w:r>
        <w:rPr>
          <w:rFonts w:hint="eastAsia"/>
          <w:color w:val="000000"/>
        </w:rPr>
        <w:t xml:space="preserve"> (¥</w:t>
      </w:r>
      <w:r>
        <w:rPr>
          <w:rFonts w:hint="eastAsia"/>
          <w:b/>
          <w:bCs/>
          <w:color w:val="000000"/>
          <w:u w:val="single"/>
        </w:rPr>
        <w:t xml:space="preserve">           </w:t>
      </w:r>
      <w:r>
        <w:rPr>
          <w:rFonts w:hint="eastAsia"/>
          <w:color w:val="000000"/>
        </w:rPr>
        <w:t xml:space="preserve"> 元)；</w:t>
      </w:r>
    </w:p>
    <w:p w14:paraId="6D363924">
      <w:pPr>
        <w:spacing w:line="460" w:lineRule="exact"/>
        <w:ind w:firstLine="440" w:firstLineChars="200"/>
        <w:rPr>
          <w:color w:val="000000"/>
        </w:rPr>
      </w:pPr>
      <w:r>
        <w:rPr>
          <w:rFonts w:hint="eastAsia"/>
          <w:color w:val="000000"/>
        </w:rPr>
        <w:t>其中：</w:t>
      </w:r>
    </w:p>
    <w:p w14:paraId="307807CB">
      <w:pPr>
        <w:spacing w:line="460" w:lineRule="exact"/>
        <w:ind w:firstLine="440" w:firstLineChars="200"/>
        <w:rPr>
          <w:color w:val="000000"/>
        </w:rPr>
      </w:pPr>
      <w:r>
        <w:rPr>
          <w:rFonts w:hint="eastAsia"/>
          <w:color w:val="000000"/>
        </w:rPr>
        <w:t>（1）安全文明施工费：</w:t>
      </w:r>
    </w:p>
    <w:p w14:paraId="190D6A9A">
      <w:pPr>
        <w:spacing w:line="460" w:lineRule="exact"/>
        <w:ind w:firstLine="440" w:firstLineChars="200"/>
        <w:rPr>
          <w:color w:val="000000"/>
        </w:rPr>
      </w:pPr>
      <w:r>
        <w:rPr>
          <w:rFonts w:hint="eastAsia"/>
          <w:color w:val="000000"/>
        </w:rPr>
        <w:t>人民币（大写）</w:t>
      </w:r>
      <w:r>
        <w:rPr>
          <w:rFonts w:hint="eastAsia"/>
          <w:color w:val="000000"/>
          <w:u w:val="single"/>
        </w:rPr>
        <w:t xml:space="preserve">               </w:t>
      </w:r>
      <w:r>
        <w:rPr>
          <w:rFonts w:hint="eastAsia"/>
          <w:color w:val="000000"/>
        </w:rPr>
        <w:t xml:space="preserve">(¥ </w:t>
      </w:r>
      <w:r>
        <w:rPr>
          <w:rFonts w:hint="eastAsia"/>
          <w:color w:val="000000"/>
          <w:u w:val="single"/>
        </w:rPr>
        <w:t xml:space="preserve">             </w:t>
      </w:r>
      <w:r>
        <w:rPr>
          <w:rFonts w:hint="eastAsia"/>
          <w:color w:val="000000"/>
        </w:rPr>
        <w:t>元)；</w:t>
      </w:r>
    </w:p>
    <w:p w14:paraId="5C4A1ADE">
      <w:pPr>
        <w:spacing w:line="460" w:lineRule="exact"/>
        <w:ind w:firstLine="440" w:firstLineChars="200"/>
        <w:rPr>
          <w:color w:val="000000"/>
        </w:rPr>
      </w:pPr>
      <w:r>
        <w:rPr>
          <w:rFonts w:hint="eastAsia"/>
          <w:color w:val="000000"/>
        </w:rPr>
        <w:t>（2）材料和工程设备暂估价金额：</w:t>
      </w:r>
    </w:p>
    <w:p w14:paraId="39C26468">
      <w:pPr>
        <w:spacing w:line="460" w:lineRule="exact"/>
        <w:ind w:firstLine="440" w:firstLineChars="200"/>
        <w:rPr>
          <w:color w:val="000000"/>
        </w:rPr>
      </w:pPr>
      <w:r>
        <w:rPr>
          <w:rFonts w:hint="eastAsia"/>
          <w:color w:val="000000"/>
        </w:rPr>
        <w:t>人民币（大写）</w:t>
      </w:r>
      <w:r>
        <w:rPr>
          <w:rFonts w:hint="eastAsia"/>
          <w:color w:val="000000"/>
          <w:u w:val="single"/>
        </w:rPr>
        <w:t xml:space="preserve">               </w:t>
      </w:r>
      <w:r>
        <w:rPr>
          <w:rFonts w:hint="eastAsia"/>
          <w:color w:val="000000"/>
        </w:rPr>
        <w:t xml:space="preserve">(¥ </w:t>
      </w:r>
      <w:r>
        <w:rPr>
          <w:rFonts w:hint="eastAsia"/>
          <w:color w:val="000000"/>
          <w:u w:val="single"/>
        </w:rPr>
        <w:t xml:space="preserve">             </w:t>
      </w:r>
      <w:r>
        <w:rPr>
          <w:rFonts w:hint="eastAsia"/>
          <w:color w:val="000000"/>
        </w:rPr>
        <w:t>元)；</w:t>
      </w:r>
    </w:p>
    <w:p w14:paraId="1712F606">
      <w:pPr>
        <w:spacing w:line="460" w:lineRule="exact"/>
        <w:ind w:firstLine="440" w:firstLineChars="200"/>
        <w:rPr>
          <w:color w:val="000000"/>
        </w:rPr>
      </w:pPr>
      <w:r>
        <w:rPr>
          <w:rFonts w:hint="eastAsia"/>
          <w:color w:val="000000"/>
        </w:rPr>
        <w:t>（3）专业工程暂估价金额：</w:t>
      </w:r>
    </w:p>
    <w:p w14:paraId="471E2516">
      <w:pPr>
        <w:spacing w:line="460" w:lineRule="exact"/>
        <w:ind w:firstLine="440" w:firstLineChars="200"/>
        <w:rPr>
          <w:color w:val="000000"/>
        </w:rPr>
      </w:pPr>
      <w:r>
        <w:rPr>
          <w:rFonts w:hint="eastAsia"/>
          <w:color w:val="000000"/>
        </w:rPr>
        <w:t>人民币（大写）</w:t>
      </w:r>
      <w:r>
        <w:rPr>
          <w:rFonts w:hint="eastAsia"/>
          <w:color w:val="000000"/>
          <w:u w:val="single"/>
        </w:rPr>
        <w:t xml:space="preserve">               </w:t>
      </w:r>
      <w:r>
        <w:rPr>
          <w:rFonts w:hint="eastAsia"/>
          <w:color w:val="000000"/>
        </w:rPr>
        <w:t xml:space="preserve">(¥ </w:t>
      </w:r>
      <w:r>
        <w:rPr>
          <w:rFonts w:hint="eastAsia"/>
          <w:color w:val="000000"/>
          <w:u w:val="single"/>
        </w:rPr>
        <w:t xml:space="preserve">            </w:t>
      </w:r>
      <w:r>
        <w:rPr>
          <w:rFonts w:hint="eastAsia"/>
          <w:color w:val="000000"/>
        </w:rPr>
        <w:t xml:space="preserve"> 元)；</w:t>
      </w:r>
    </w:p>
    <w:p w14:paraId="30FA022D">
      <w:pPr>
        <w:spacing w:line="460" w:lineRule="exact"/>
        <w:ind w:firstLine="440" w:firstLineChars="200"/>
        <w:rPr>
          <w:color w:val="000000"/>
        </w:rPr>
      </w:pPr>
      <w:r>
        <w:rPr>
          <w:rFonts w:hint="eastAsia"/>
          <w:color w:val="000000"/>
        </w:rPr>
        <w:t xml:space="preserve">（4）暂列金额： </w:t>
      </w:r>
    </w:p>
    <w:p w14:paraId="280A27AF">
      <w:pPr>
        <w:spacing w:line="460" w:lineRule="exact"/>
        <w:ind w:firstLine="440" w:firstLineChars="200"/>
        <w:rPr>
          <w:color w:val="000000"/>
        </w:rPr>
      </w:pPr>
      <w:r>
        <w:rPr>
          <w:rFonts w:hint="eastAsia"/>
          <w:color w:val="000000"/>
        </w:rPr>
        <w:t>人民币（大写）</w:t>
      </w:r>
      <w:r>
        <w:rPr>
          <w:rFonts w:hint="eastAsia"/>
          <w:color w:val="000000"/>
          <w:u w:val="single"/>
        </w:rPr>
        <w:t xml:space="preserve">               </w:t>
      </w:r>
      <w:r>
        <w:rPr>
          <w:rFonts w:hint="eastAsia"/>
          <w:color w:val="000000"/>
        </w:rPr>
        <w:t>(¥</w:t>
      </w:r>
      <w:r>
        <w:rPr>
          <w:rFonts w:hint="eastAsia"/>
          <w:color w:val="000000"/>
          <w:u w:val="single"/>
        </w:rPr>
        <w:t xml:space="preserve">              </w:t>
      </w:r>
      <w:r>
        <w:rPr>
          <w:rFonts w:hint="eastAsia"/>
          <w:color w:val="000000"/>
        </w:rPr>
        <w:t>元)。</w:t>
      </w:r>
    </w:p>
    <w:p w14:paraId="393523DA">
      <w:pPr>
        <w:spacing w:line="460" w:lineRule="exact"/>
        <w:ind w:firstLine="440" w:firstLineChars="200"/>
        <w:rPr>
          <w:color w:val="000000"/>
        </w:rPr>
      </w:pPr>
      <w:r>
        <w:rPr>
          <w:rFonts w:hint="eastAsia"/>
          <w:color w:val="000000"/>
        </w:rPr>
        <w:t>2.合同价格形式：</w:t>
      </w:r>
      <w:r>
        <w:rPr>
          <w:rFonts w:hint="eastAsia"/>
          <w:color w:val="000000"/>
          <w:u w:val="single"/>
        </w:rPr>
        <w:t xml:space="preserve">                            </w:t>
      </w:r>
      <w:r>
        <w:rPr>
          <w:rFonts w:hint="eastAsia"/>
          <w:color w:val="000000"/>
        </w:rPr>
        <w:t>。</w:t>
      </w:r>
    </w:p>
    <w:p w14:paraId="645E2B3F">
      <w:pPr>
        <w:spacing w:line="460" w:lineRule="exact"/>
        <w:rPr>
          <w:b/>
          <w:bCs/>
          <w:color w:val="000000"/>
        </w:rPr>
      </w:pPr>
      <w:r>
        <w:rPr>
          <w:rFonts w:hint="eastAsia"/>
          <w:b/>
          <w:bCs/>
          <w:color w:val="000000"/>
        </w:rPr>
        <w:t xml:space="preserve"> </w:t>
      </w:r>
      <w:bookmarkStart w:id="24" w:name="_Toc351203485"/>
      <w:r>
        <w:rPr>
          <w:rFonts w:hint="eastAsia"/>
          <w:b/>
          <w:bCs/>
          <w:color w:val="000000"/>
        </w:rPr>
        <w:t>五、</w:t>
      </w:r>
      <w:bookmarkEnd w:id="24"/>
      <w:r>
        <w:rPr>
          <w:rFonts w:hint="eastAsia"/>
          <w:b/>
          <w:bCs/>
          <w:color w:val="000000"/>
        </w:rPr>
        <w:t>项目经理</w:t>
      </w:r>
    </w:p>
    <w:p w14:paraId="5CAED3A3">
      <w:pPr>
        <w:spacing w:line="460" w:lineRule="exact"/>
        <w:ind w:firstLine="440" w:firstLineChars="200"/>
        <w:rPr>
          <w:color w:val="000000"/>
        </w:rPr>
      </w:pPr>
      <w:r>
        <w:rPr>
          <w:rFonts w:hint="eastAsia"/>
          <w:color w:val="000000"/>
        </w:rPr>
        <w:t xml:space="preserve">承包人项目经理： </w:t>
      </w:r>
      <w:r>
        <w:rPr>
          <w:rFonts w:hint="eastAsia"/>
          <w:color w:val="000000"/>
          <w:u w:val="single"/>
        </w:rPr>
        <w:t xml:space="preserve">                           </w:t>
      </w:r>
      <w:r>
        <w:rPr>
          <w:rFonts w:hint="eastAsia"/>
          <w:color w:val="000000"/>
        </w:rPr>
        <w:t>。</w:t>
      </w:r>
    </w:p>
    <w:p w14:paraId="20D2ED16">
      <w:pPr>
        <w:spacing w:line="460" w:lineRule="exact"/>
        <w:rPr>
          <w:b/>
          <w:bCs/>
          <w:color w:val="000000"/>
        </w:rPr>
      </w:pPr>
      <w:r>
        <w:rPr>
          <w:rFonts w:hint="eastAsia"/>
          <w:color w:val="000000"/>
        </w:rPr>
        <w:t xml:space="preserve"> </w:t>
      </w:r>
      <w:bookmarkStart w:id="25" w:name="_Toc351203486"/>
      <w:r>
        <w:rPr>
          <w:rFonts w:hint="eastAsia"/>
          <w:b/>
          <w:bCs/>
          <w:color w:val="000000"/>
        </w:rPr>
        <w:t>六、合同文件构成</w:t>
      </w:r>
      <w:bookmarkEnd w:id="25"/>
    </w:p>
    <w:p w14:paraId="60C4CD5A">
      <w:pPr>
        <w:spacing w:line="460" w:lineRule="exact"/>
        <w:ind w:firstLine="440" w:firstLineChars="200"/>
        <w:rPr>
          <w:color w:val="000000"/>
        </w:rPr>
      </w:pPr>
      <w:r>
        <w:rPr>
          <w:rFonts w:hint="eastAsia"/>
          <w:color w:val="000000"/>
        </w:rPr>
        <w:t>本协议书与下列文件一起构成合同文件：</w:t>
      </w:r>
    </w:p>
    <w:p w14:paraId="1AFB7350">
      <w:pPr>
        <w:spacing w:line="460" w:lineRule="exact"/>
        <w:ind w:firstLine="440" w:firstLineChars="200"/>
        <w:rPr>
          <w:color w:val="000000"/>
        </w:rPr>
      </w:pPr>
      <w:r>
        <w:rPr>
          <w:rFonts w:hint="eastAsia"/>
          <w:color w:val="000000"/>
        </w:rPr>
        <w:t>（1）中标通知书（如果有）；</w:t>
      </w:r>
    </w:p>
    <w:p w14:paraId="005CC7D4">
      <w:pPr>
        <w:spacing w:line="460" w:lineRule="exact"/>
        <w:ind w:firstLine="440" w:firstLineChars="200"/>
        <w:rPr>
          <w:color w:val="000000"/>
        </w:rPr>
      </w:pPr>
      <w:r>
        <w:rPr>
          <w:rFonts w:hint="eastAsia"/>
          <w:color w:val="000000"/>
        </w:rPr>
        <w:t xml:space="preserve">（2）投标函及其附录（如果有）； </w:t>
      </w:r>
    </w:p>
    <w:p w14:paraId="62512621">
      <w:pPr>
        <w:spacing w:line="460" w:lineRule="exact"/>
        <w:ind w:firstLine="440" w:firstLineChars="200"/>
        <w:rPr>
          <w:color w:val="000000"/>
        </w:rPr>
      </w:pPr>
      <w:r>
        <w:rPr>
          <w:rFonts w:hint="eastAsia"/>
          <w:color w:val="000000"/>
        </w:rPr>
        <w:t>（3）专用合同条款及其附件；</w:t>
      </w:r>
    </w:p>
    <w:p w14:paraId="10808B74">
      <w:pPr>
        <w:spacing w:line="460" w:lineRule="exact"/>
        <w:ind w:firstLine="440" w:firstLineChars="200"/>
        <w:rPr>
          <w:color w:val="000000"/>
        </w:rPr>
      </w:pPr>
      <w:r>
        <w:rPr>
          <w:rFonts w:hint="eastAsia"/>
          <w:color w:val="000000"/>
        </w:rPr>
        <w:t>（4）通用合同条款；</w:t>
      </w:r>
    </w:p>
    <w:p w14:paraId="3B02DF36">
      <w:pPr>
        <w:spacing w:line="460" w:lineRule="exact"/>
        <w:ind w:firstLine="440" w:firstLineChars="200"/>
        <w:rPr>
          <w:color w:val="000000"/>
        </w:rPr>
      </w:pPr>
      <w:r>
        <w:rPr>
          <w:rFonts w:hint="eastAsia"/>
          <w:color w:val="000000"/>
        </w:rPr>
        <w:t>（5）技术标准和要求；</w:t>
      </w:r>
    </w:p>
    <w:p w14:paraId="669017BB">
      <w:pPr>
        <w:spacing w:line="460" w:lineRule="exact"/>
        <w:ind w:firstLine="440" w:firstLineChars="200"/>
        <w:rPr>
          <w:color w:val="000000"/>
        </w:rPr>
      </w:pPr>
      <w:r>
        <w:rPr>
          <w:rFonts w:hint="eastAsia"/>
          <w:color w:val="000000"/>
        </w:rPr>
        <w:t>（6）图纸；</w:t>
      </w:r>
    </w:p>
    <w:p w14:paraId="249F43C5">
      <w:pPr>
        <w:spacing w:line="460" w:lineRule="exact"/>
        <w:ind w:firstLine="440" w:firstLineChars="200"/>
        <w:rPr>
          <w:color w:val="000000"/>
        </w:rPr>
      </w:pPr>
      <w:r>
        <w:rPr>
          <w:rFonts w:hint="eastAsia"/>
          <w:color w:val="000000"/>
        </w:rPr>
        <w:t>（7）预算书；</w:t>
      </w:r>
    </w:p>
    <w:p w14:paraId="7563D101">
      <w:pPr>
        <w:spacing w:line="460" w:lineRule="exact"/>
        <w:ind w:firstLine="440" w:firstLineChars="200"/>
        <w:rPr>
          <w:color w:val="000000"/>
        </w:rPr>
      </w:pPr>
      <w:r>
        <w:rPr>
          <w:rFonts w:hint="eastAsia"/>
          <w:color w:val="000000"/>
        </w:rPr>
        <w:t>（8）其他合同文件。</w:t>
      </w:r>
    </w:p>
    <w:p w14:paraId="5E1D9841">
      <w:pPr>
        <w:spacing w:line="460" w:lineRule="exact"/>
        <w:ind w:firstLine="440" w:firstLineChars="200"/>
        <w:rPr>
          <w:color w:val="000000"/>
        </w:rPr>
      </w:pPr>
      <w:r>
        <w:rPr>
          <w:rFonts w:hint="eastAsia"/>
          <w:color w:val="000000"/>
        </w:rPr>
        <w:t>在合同订立及履行过程中形成的与合同有关的文件均构成合同文件组成部分。</w:t>
      </w:r>
    </w:p>
    <w:p w14:paraId="13C0E013">
      <w:pPr>
        <w:spacing w:line="460" w:lineRule="exact"/>
        <w:ind w:firstLine="440" w:firstLineChars="200"/>
        <w:rPr>
          <w:color w:val="000000"/>
        </w:rPr>
      </w:pPr>
      <w:r>
        <w:rPr>
          <w:rFonts w:hint="eastAsia"/>
          <w:color w:val="000000"/>
        </w:rPr>
        <w:t>上述各项合同文件包括合同当事人就该项合同文件所作出的补充和修改，属于同一类内容的文件，应以最新签署的为准。专用合同条款及其附件须经合同当事人签字或盖章。</w:t>
      </w:r>
    </w:p>
    <w:p w14:paraId="5ADD35BF">
      <w:pPr>
        <w:spacing w:line="460" w:lineRule="exact"/>
        <w:rPr>
          <w:color w:val="000000"/>
        </w:rPr>
      </w:pPr>
      <w:r>
        <w:rPr>
          <w:rFonts w:hint="eastAsia"/>
          <w:color w:val="000000"/>
        </w:rPr>
        <w:t xml:space="preserve"> </w:t>
      </w:r>
      <w:bookmarkStart w:id="26" w:name="_Toc351203487"/>
      <w:r>
        <w:rPr>
          <w:rFonts w:hint="eastAsia"/>
          <w:b/>
          <w:bCs/>
          <w:color w:val="000000"/>
        </w:rPr>
        <w:t>七、承诺</w:t>
      </w:r>
      <w:bookmarkEnd w:id="26"/>
    </w:p>
    <w:p w14:paraId="72DAA2D9">
      <w:pPr>
        <w:spacing w:line="460" w:lineRule="exact"/>
        <w:ind w:firstLine="440" w:firstLineChars="200"/>
        <w:rPr>
          <w:color w:val="000000"/>
        </w:rPr>
      </w:pPr>
      <w:r>
        <w:rPr>
          <w:rFonts w:hint="eastAsia"/>
          <w:color w:val="000000"/>
        </w:rPr>
        <w:t>1.发包人承诺按照法律规定履行项目审批手续、筹集工程建设资金并按照合同约定的期限和方式支付合同价款。</w:t>
      </w:r>
    </w:p>
    <w:p w14:paraId="51D62869">
      <w:pPr>
        <w:spacing w:line="460" w:lineRule="exact"/>
        <w:ind w:firstLine="440" w:firstLineChars="200"/>
        <w:rPr>
          <w:color w:val="000000"/>
        </w:rPr>
      </w:pPr>
      <w:r>
        <w:rPr>
          <w:rFonts w:hint="eastAsia"/>
          <w:color w:val="000000"/>
        </w:rPr>
        <w:t>2.承包人承诺按照法律规定及合同约定组织完成工程施工，确保工程质量和安全，不进行转包及违法分包，并在缺陷责任期及保修期内承担相应的工程维修责任。</w:t>
      </w:r>
    </w:p>
    <w:p w14:paraId="5BEDB4AB">
      <w:pPr>
        <w:spacing w:line="460" w:lineRule="exact"/>
        <w:ind w:firstLine="440" w:firstLineChars="200"/>
        <w:rPr>
          <w:b/>
          <w:bCs/>
          <w:color w:val="000000"/>
        </w:rPr>
      </w:pPr>
      <w:r>
        <w:rPr>
          <w:rFonts w:hint="eastAsia"/>
          <w:color w:val="000000"/>
        </w:rPr>
        <w:t>3.发包人和承包人通过招投标形式签订合同的，双方理解并承诺不再就同一工程另行签订与合同实质性内容相背离的协议。</w:t>
      </w:r>
    </w:p>
    <w:p w14:paraId="3B61C31E">
      <w:pPr>
        <w:spacing w:line="460" w:lineRule="exact"/>
        <w:rPr>
          <w:b/>
          <w:bCs/>
          <w:color w:val="000000"/>
        </w:rPr>
      </w:pPr>
      <w:bookmarkStart w:id="27" w:name="_Toc351203488"/>
      <w:r>
        <w:rPr>
          <w:rFonts w:hint="eastAsia"/>
          <w:b/>
          <w:bCs/>
          <w:color w:val="000000"/>
        </w:rPr>
        <w:t>八、词语含义</w:t>
      </w:r>
      <w:bookmarkEnd w:id="27"/>
    </w:p>
    <w:p w14:paraId="3A99E4FE">
      <w:pPr>
        <w:spacing w:line="460" w:lineRule="exact"/>
        <w:ind w:firstLine="440" w:firstLineChars="200"/>
        <w:rPr>
          <w:color w:val="000000"/>
        </w:rPr>
      </w:pPr>
      <w:r>
        <w:rPr>
          <w:rFonts w:hint="eastAsia"/>
          <w:color w:val="000000"/>
        </w:rPr>
        <w:t>本协议书中词语含义与第二部分通用合同条款中赋予的含义相同。</w:t>
      </w:r>
    </w:p>
    <w:p w14:paraId="03027D3F">
      <w:pPr>
        <w:spacing w:line="460" w:lineRule="exact"/>
        <w:rPr>
          <w:b/>
          <w:bCs/>
          <w:color w:val="000000"/>
        </w:rPr>
      </w:pPr>
      <w:bookmarkStart w:id="28" w:name="_Toc351203489"/>
      <w:r>
        <w:rPr>
          <w:rFonts w:hint="eastAsia"/>
          <w:b/>
          <w:bCs/>
          <w:color w:val="000000"/>
        </w:rPr>
        <w:t>九、签订时间</w:t>
      </w:r>
      <w:bookmarkEnd w:id="28"/>
    </w:p>
    <w:p w14:paraId="53BEAC0D">
      <w:pPr>
        <w:spacing w:line="460" w:lineRule="exact"/>
        <w:ind w:firstLine="440" w:firstLineChars="200"/>
        <w:rPr>
          <w:color w:val="000000"/>
        </w:rPr>
      </w:pPr>
      <w:r>
        <w:rPr>
          <w:rFonts w:hint="eastAsia"/>
          <w:color w:val="000000"/>
        </w:rPr>
        <w:t>本合同于</w:t>
      </w:r>
      <w:r>
        <w:rPr>
          <w:rFonts w:hint="eastAsia"/>
          <w:color w:val="000000"/>
          <w:u w:val="single"/>
        </w:rPr>
        <w:t xml:space="preserve">        </w:t>
      </w:r>
      <w:r>
        <w:rPr>
          <w:rFonts w:hint="eastAsia"/>
          <w:color w:val="000000"/>
        </w:rPr>
        <w:t>年</w:t>
      </w:r>
      <w:r>
        <w:rPr>
          <w:rFonts w:hint="eastAsia"/>
          <w:color w:val="000000"/>
          <w:u w:val="single"/>
        </w:rPr>
        <w:t xml:space="preserve">        </w:t>
      </w:r>
      <w:r>
        <w:rPr>
          <w:rFonts w:hint="eastAsia"/>
          <w:color w:val="000000"/>
        </w:rPr>
        <w:t>月</w:t>
      </w:r>
      <w:r>
        <w:rPr>
          <w:rFonts w:hint="eastAsia"/>
          <w:color w:val="000000"/>
          <w:u w:val="single"/>
        </w:rPr>
        <w:t xml:space="preserve">        </w:t>
      </w:r>
      <w:r>
        <w:rPr>
          <w:rFonts w:hint="eastAsia"/>
          <w:color w:val="000000"/>
        </w:rPr>
        <w:t>日签订。</w:t>
      </w:r>
    </w:p>
    <w:p w14:paraId="06EA4319">
      <w:pPr>
        <w:spacing w:line="460" w:lineRule="exact"/>
        <w:rPr>
          <w:color w:val="000000"/>
        </w:rPr>
      </w:pPr>
      <w:bookmarkStart w:id="29" w:name="_Toc351203490"/>
      <w:r>
        <w:rPr>
          <w:rFonts w:hint="eastAsia"/>
          <w:b/>
          <w:bCs/>
          <w:color w:val="000000"/>
        </w:rPr>
        <w:t>十</w:t>
      </w:r>
      <w:bookmarkEnd w:id="29"/>
      <w:r>
        <w:rPr>
          <w:rFonts w:hint="eastAsia"/>
          <w:b/>
          <w:bCs/>
          <w:color w:val="000000"/>
        </w:rPr>
        <w:t>、签订地点</w:t>
      </w:r>
    </w:p>
    <w:p w14:paraId="6CA044F7">
      <w:pPr>
        <w:spacing w:line="460" w:lineRule="exact"/>
        <w:ind w:firstLine="440" w:firstLineChars="200"/>
        <w:rPr>
          <w:color w:val="000000"/>
        </w:rPr>
      </w:pPr>
      <w:r>
        <w:rPr>
          <w:rFonts w:hint="eastAsia"/>
          <w:color w:val="000000"/>
        </w:rPr>
        <w:t>本合同在</w:t>
      </w:r>
      <w:r>
        <w:rPr>
          <w:rFonts w:hint="eastAsia"/>
          <w:color w:val="000000"/>
          <w:u w:val="single"/>
        </w:rPr>
        <w:t xml:space="preserve">                                    </w:t>
      </w:r>
      <w:r>
        <w:rPr>
          <w:rFonts w:hint="eastAsia"/>
          <w:color w:val="000000"/>
        </w:rPr>
        <w:t>签订。</w:t>
      </w:r>
    </w:p>
    <w:p w14:paraId="75D2FA29">
      <w:pPr>
        <w:spacing w:line="460" w:lineRule="exact"/>
        <w:rPr>
          <w:color w:val="000000"/>
        </w:rPr>
      </w:pPr>
      <w:bookmarkStart w:id="30" w:name="_Toc351203491"/>
      <w:r>
        <w:rPr>
          <w:rFonts w:hint="eastAsia"/>
          <w:b/>
          <w:bCs/>
          <w:color w:val="000000"/>
        </w:rPr>
        <w:t>十一、补充协议</w:t>
      </w:r>
      <w:bookmarkEnd w:id="30"/>
    </w:p>
    <w:p w14:paraId="6E05D7C0">
      <w:pPr>
        <w:spacing w:line="460" w:lineRule="exact"/>
        <w:ind w:firstLine="440" w:firstLineChars="200"/>
        <w:rPr>
          <w:color w:val="000000"/>
        </w:rPr>
      </w:pPr>
      <w:r>
        <w:rPr>
          <w:rFonts w:hint="eastAsia"/>
          <w:color w:val="000000"/>
        </w:rPr>
        <w:t>合同未尽事宜，合同当事人另行签订补充协议，补充协议是合同的组成部分。</w:t>
      </w:r>
    </w:p>
    <w:p w14:paraId="4C92DC24">
      <w:pPr>
        <w:spacing w:line="460" w:lineRule="exact"/>
        <w:rPr>
          <w:color w:val="000000"/>
        </w:rPr>
      </w:pPr>
      <w:bookmarkStart w:id="31" w:name="_Toc351203492"/>
      <w:r>
        <w:rPr>
          <w:rFonts w:hint="eastAsia"/>
          <w:b/>
          <w:bCs/>
          <w:color w:val="000000"/>
        </w:rPr>
        <w:t>十二、合同生效</w:t>
      </w:r>
      <w:bookmarkEnd w:id="31"/>
    </w:p>
    <w:p w14:paraId="52049180">
      <w:pPr>
        <w:spacing w:line="460" w:lineRule="exact"/>
        <w:ind w:firstLine="440" w:firstLineChars="200"/>
        <w:rPr>
          <w:color w:val="000000"/>
        </w:rPr>
      </w:pPr>
      <w:r>
        <w:rPr>
          <w:rFonts w:hint="eastAsia"/>
          <w:color w:val="000000"/>
        </w:rPr>
        <w:t>本合同自</w:t>
      </w:r>
      <w:r>
        <w:rPr>
          <w:rFonts w:hint="eastAsia"/>
          <w:color w:val="000000"/>
          <w:u w:val="single"/>
        </w:rPr>
        <w:t xml:space="preserve">                                   </w:t>
      </w:r>
      <w:r>
        <w:rPr>
          <w:rFonts w:hint="eastAsia"/>
          <w:color w:val="000000"/>
        </w:rPr>
        <w:t>生效。</w:t>
      </w:r>
    </w:p>
    <w:p w14:paraId="0CAA6CC6">
      <w:pPr>
        <w:spacing w:line="460" w:lineRule="exact"/>
        <w:rPr>
          <w:b/>
          <w:bCs/>
          <w:color w:val="000000"/>
        </w:rPr>
      </w:pPr>
      <w:bookmarkStart w:id="32" w:name="_Toc351203493"/>
      <w:r>
        <w:rPr>
          <w:rFonts w:hint="eastAsia"/>
          <w:b/>
          <w:bCs/>
          <w:color w:val="000000"/>
        </w:rPr>
        <w:t>十三、合同份数</w:t>
      </w:r>
      <w:bookmarkEnd w:id="32"/>
    </w:p>
    <w:p w14:paraId="0875D628">
      <w:pPr>
        <w:spacing w:line="460" w:lineRule="exact"/>
        <w:ind w:firstLine="440" w:firstLineChars="200"/>
        <w:rPr>
          <w:color w:val="000000"/>
        </w:rPr>
      </w:pPr>
      <w:r>
        <w:rPr>
          <w:rFonts w:hint="eastAsia"/>
          <w:color w:val="000000"/>
        </w:rPr>
        <w:t>本合同一式</w:t>
      </w:r>
      <w:r>
        <w:rPr>
          <w:rFonts w:hint="eastAsia"/>
          <w:color w:val="000000"/>
          <w:u w:val="single"/>
        </w:rPr>
        <w:t xml:space="preserve">      </w:t>
      </w:r>
      <w:r>
        <w:rPr>
          <w:rFonts w:hint="eastAsia"/>
          <w:color w:val="000000"/>
        </w:rPr>
        <w:t>份，均具有同等法律效力，发包人执</w:t>
      </w:r>
      <w:r>
        <w:rPr>
          <w:rFonts w:hint="eastAsia"/>
          <w:color w:val="000000"/>
          <w:u w:val="single"/>
        </w:rPr>
        <w:t xml:space="preserve">    </w:t>
      </w:r>
      <w:r>
        <w:rPr>
          <w:rFonts w:hint="eastAsia"/>
          <w:color w:val="000000"/>
        </w:rPr>
        <w:t>份，承包人执</w:t>
      </w:r>
      <w:r>
        <w:rPr>
          <w:rFonts w:hint="eastAsia"/>
          <w:color w:val="000000"/>
          <w:u w:val="single"/>
        </w:rPr>
        <w:t xml:space="preserve">      </w:t>
      </w:r>
      <w:r>
        <w:rPr>
          <w:rFonts w:hint="eastAsia"/>
          <w:color w:val="000000"/>
        </w:rPr>
        <w:t>份。</w:t>
      </w:r>
    </w:p>
    <w:p w14:paraId="25D108F6">
      <w:pPr>
        <w:spacing w:line="460" w:lineRule="exact"/>
        <w:rPr>
          <w:color w:val="000000"/>
        </w:rPr>
      </w:pPr>
      <w:r>
        <w:rPr>
          <w:rFonts w:hint="eastAsia"/>
          <w:color w:val="000000"/>
        </w:rPr>
        <w:t xml:space="preserve">发包人：  (公章)                           承包人：  (公章)                           </w:t>
      </w:r>
    </w:p>
    <w:p w14:paraId="37D94661">
      <w:pPr>
        <w:spacing w:line="460" w:lineRule="exact"/>
        <w:rPr>
          <w:color w:val="000000"/>
        </w:rPr>
      </w:pPr>
      <w:r>
        <w:rPr>
          <w:rFonts w:hint="eastAsia"/>
          <w:color w:val="000000"/>
        </w:rPr>
        <w:t xml:space="preserve">法定代表人或其委托代理人（签字）：          法定代表人或其委托代理人（签字）：                     </w:t>
      </w:r>
    </w:p>
    <w:p w14:paraId="4336729B">
      <w:pPr>
        <w:spacing w:line="460" w:lineRule="exact"/>
        <w:rPr>
          <w:color w:val="000000"/>
        </w:rPr>
      </w:pPr>
      <w:r>
        <w:rPr>
          <w:rFonts w:hint="eastAsia"/>
          <w:color w:val="000000"/>
        </w:rPr>
        <w:t>组织机构代码：</w:t>
      </w:r>
      <w:r>
        <w:rPr>
          <w:rFonts w:hint="eastAsia"/>
          <w:color w:val="000000"/>
          <w:u w:val="single"/>
        </w:rPr>
        <w:t xml:space="preserve">                    </w:t>
      </w:r>
      <w:r>
        <w:rPr>
          <w:rFonts w:hint="eastAsia"/>
          <w:color w:val="000000"/>
        </w:rPr>
        <w:t xml:space="preserve">         组织机构代码：</w:t>
      </w:r>
      <w:r>
        <w:rPr>
          <w:rFonts w:hint="eastAsia"/>
          <w:color w:val="000000"/>
          <w:u w:val="single"/>
        </w:rPr>
        <w:t xml:space="preserve">                   </w:t>
      </w:r>
      <w:r>
        <w:rPr>
          <w:rFonts w:hint="eastAsia"/>
          <w:color w:val="000000"/>
        </w:rPr>
        <w:t></w:t>
      </w:r>
    </w:p>
    <w:p w14:paraId="56AFFE12">
      <w:pPr>
        <w:spacing w:line="460" w:lineRule="exact"/>
        <w:rPr>
          <w:color w:val="000000"/>
        </w:rPr>
      </w:pPr>
      <w:r>
        <w:rPr>
          <w:rFonts w:hint="eastAsia"/>
          <w:color w:val="000000"/>
        </w:rPr>
        <w:t>地  址：</w:t>
      </w:r>
      <w:r>
        <w:rPr>
          <w:rFonts w:hint="eastAsia"/>
          <w:color w:val="000000"/>
          <w:u w:val="single"/>
        </w:rPr>
        <w:t xml:space="preserve">                         </w:t>
      </w:r>
      <w:r>
        <w:rPr>
          <w:rFonts w:hint="eastAsia"/>
          <w:color w:val="000000"/>
        </w:rPr>
        <w:t xml:space="preserve">          地  址：</w:t>
      </w:r>
      <w:r>
        <w:rPr>
          <w:rFonts w:hint="eastAsia"/>
          <w:color w:val="000000"/>
          <w:u w:val="single"/>
        </w:rPr>
        <w:t xml:space="preserve">                         </w:t>
      </w:r>
      <w:r>
        <w:rPr>
          <w:rFonts w:hint="eastAsia"/>
          <w:color w:val="000000"/>
        </w:rPr>
        <w:t xml:space="preserve">      </w:t>
      </w:r>
    </w:p>
    <w:p w14:paraId="7C4AE3F3">
      <w:pPr>
        <w:spacing w:line="460" w:lineRule="exact"/>
        <w:rPr>
          <w:color w:val="000000"/>
        </w:rPr>
      </w:pPr>
      <w:r>
        <w:rPr>
          <w:rFonts w:hint="eastAsia"/>
          <w:color w:val="000000"/>
        </w:rPr>
        <w:t>邮政编码：</w:t>
      </w:r>
      <w:r>
        <w:rPr>
          <w:rFonts w:hint="eastAsia"/>
          <w:color w:val="000000"/>
          <w:u w:val="single"/>
        </w:rPr>
        <w:t xml:space="preserve">                       </w:t>
      </w:r>
      <w:r>
        <w:rPr>
          <w:rFonts w:hint="eastAsia"/>
          <w:color w:val="000000"/>
        </w:rPr>
        <w:t xml:space="preserve">          邮政编码：</w:t>
      </w:r>
      <w:r>
        <w:rPr>
          <w:rFonts w:hint="eastAsia"/>
          <w:color w:val="000000"/>
          <w:u w:val="single"/>
        </w:rPr>
        <w:t xml:space="preserve">                       </w:t>
      </w:r>
      <w:r>
        <w:rPr>
          <w:rFonts w:hint="eastAsia"/>
          <w:color w:val="000000"/>
        </w:rPr>
        <w:t xml:space="preserve">   </w:t>
      </w:r>
    </w:p>
    <w:p w14:paraId="27A47358">
      <w:pPr>
        <w:spacing w:line="460" w:lineRule="exact"/>
        <w:rPr>
          <w:color w:val="000000"/>
        </w:rPr>
      </w:pPr>
      <w:r>
        <w:rPr>
          <w:rFonts w:hint="eastAsia"/>
          <w:color w:val="000000"/>
        </w:rPr>
        <w:t>法定代表人：</w:t>
      </w:r>
      <w:r>
        <w:rPr>
          <w:rFonts w:hint="eastAsia"/>
          <w:color w:val="000000"/>
          <w:u w:val="single"/>
        </w:rPr>
        <w:t xml:space="preserve">                  </w:t>
      </w:r>
      <w:r>
        <w:rPr>
          <w:rFonts w:hint="eastAsia"/>
          <w:color w:val="000000"/>
        </w:rPr>
        <w:t xml:space="preserve">         法定代表人：</w:t>
      </w:r>
      <w:r>
        <w:rPr>
          <w:rFonts w:hint="eastAsia"/>
          <w:color w:val="000000"/>
          <w:u w:val="single"/>
        </w:rPr>
        <w:t xml:space="preserve">                     </w:t>
      </w:r>
      <w:r>
        <w:rPr>
          <w:rFonts w:hint="eastAsia"/>
          <w:color w:val="000000"/>
        </w:rPr>
        <w:t xml:space="preserve">      </w:t>
      </w:r>
    </w:p>
    <w:p w14:paraId="5FC5E970">
      <w:pPr>
        <w:spacing w:line="460" w:lineRule="exact"/>
        <w:rPr>
          <w:color w:val="000000"/>
        </w:rPr>
      </w:pPr>
      <w:r>
        <w:rPr>
          <w:rFonts w:hint="eastAsia"/>
          <w:color w:val="000000"/>
        </w:rPr>
        <w:t>委托代理人：</w:t>
      </w:r>
      <w:r>
        <w:rPr>
          <w:rFonts w:hint="eastAsia"/>
          <w:color w:val="000000"/>
          <w:u w:val="single"/>
        </w:rPr>
        <w:t xml:space="preserve">                      </w:t>
      </w:r>
      <w:r>
        <w:rPr>
          <w:rFonts w:hint="eastAsia"/>
          <w:color w:val="000000"/>
        </w:rPr>
        <w:t xml:space="preserve">         委托代理人：</w:t>
      </w:r>
      <w:r>
        <w:rPr>
          <w:rFonts w:hint="eastAsia"/>
          <w:color w:val="000000"/>
          <w:u w:val="single"/>
        </w:rPr>
        <w:t xml:space="preserve">                     </w:t>
      </w:r>
      <w:r>
        <w:rPr>
          <w:rFonts w:hint="eastAsia"/>
          <w:color w:val="000000"/>
        </w:rPr>
        <w:t xml:space="preserve">              </w:t>
      </w:r>
    </w:p>
    <w:p w14:paraId="1346D8BD">
      <w:pPr>
        <w:spacing w:line="460" w:lineRule="exact"/>
        <w:rPr>
          <w:color w:val="000000"/>
        </w:rPr>
      </w:pPr>
      <w:r>
        <w:rPr>
          <w:rFonts w:hint="eastAsia"/>
          <w:color w:val="000000"/>
        </w:rPr>
        <w:t>电  话：</w:t>
      </w:r>
      <w:r>
        <w:rPr>
          <w:rFonts w:hint="eastAsia"/>
          <w:color w:val="000000"/>
          <w:u w:val="single"/>
        </w:rPr>
        <w:t xml:space="preserve">                          </w:t>
      </w:r>
      <w:r>
        <w:rPr>
          <w:rFonts w:hint="eastAsia"/>
          <w:color w:val="000000"/>
        </w:rPr>
        <w:t xml:space="preserve">         电  话：</w:t>
      </w:r>
      <w:r>
        <w:rPr>
          <w:rFonts w:hint="eastAsia"/>
          <w:color w:val="000000"/>
          <w:u w:val="single"/>
        </w:rPr>
        <w:t xml:space="preserve">                         </w:t>
      </w:r>
      <w:r>
        <w:rPr>
          <w:rFonts w:hint="eastAsia"/>
          <w:color w:val="000000"/>
        </w:rPr>
        <w:t xml:space="preserve">      </w:t>
      </w:r>
    </w:p>
    <w:p w14:paraId="5A6BA5F6">
      <w:pPr>
        <w:spacing w:line="460" w:lineRule="exact"/>
        <w:rPr>
          <w:color w:val="000000"/>
        </w:rPr>
      </w:pPr>
      <w:r>
        <w:rPr>
          <w:rFonts w:hint="eastAsia"/>
          <w:color w:val="000000"/>
        </w:rPr>
        <w:t>传  真：</w:t>
      </w:r>
      <w:r>
        <w:rPr>
          <w:rFonts w:hint="eastAsia"/>
          <w:color w:val="000000"/>
          <w:u w:val="single"/>
        </w:rPr>
        <w:t xml:space="preserve">                          </w:t>
      </w:r>
      <w:r>
        <w:rPr>
          <w:rFonts w:hint="eastAsia"/>
          <w:color w:val="000000"/>
        </w:rPr>
        <w:t xml:space="preserve">         传  真：</w:t>
      </w:r>
      <w:r>
        <w:rPr>
          <w:rFonts w:hint="eastAsia"/>
          <w:color w:val="000000"/>
          <w:u w:val="single"/>
        </w:rPr>
        <w:t xml:space="preserve">                           </w:t>
      </w:r>
      <w:r>
        <w:rPr>
          <w:rFonts w:hint="eastAsia"/>
          <w:color w:val="000000"/>
        </w:rPr>
        <w:t xml:space="preserve"> </w:t>
      </w:r>
    </w:p>
    <w:p w14:paraId="45EE0CEC">
      <w:pPr>
        <w:spacing w:line="460" w:lineRule="exact"/>
        <w:rPr>
          <w:color w:val="000000"/>
        </w:rPr>
      </w:pPr>
      <w:r>
        <w:rPr>
          <w:rFonts w:hint="eastAsia"/>
          <w:color w:val="000000"/>
        </w:rPr>
        <w:t>电子信箱：</w:t>
      </w:r>
      <w:r>
        <w:rPr>
          <w:rFonts w:hint="eastAsia"/>
          <w:color w:val="000000"/>
          <w:u w:val="single"/>
        </w:rPr>
        <w:t xml:space="preserve">                        </w:t>
      </w:r>
      <w:r>
        <w:rPr>
          <w:rFonts w:hint="eastAsia"/>
          <w:color w:val="000000"/>
        </w:rPr>
        <w:t xml:space="preserve">         电子信箱：</w:t>
      </w:r>
      <w:r>
        <w:rPr>
          <w:rFonts w:hint="eastAsia"/>
          <w:color w:val="000000"/>
          <w:u w:val="single"/>
        </w:rPr>
        <w:t xml:space="preserve">                         </w:t>
      </w:r>
      <w:r>
        <w:rPr>
          <w:rFonts w:hint="eastAsia"/>
          <w:color w:val="000000"/>
        </w:rPr>
        <w:t xml:space="preserve">  </w:t>
      </w:r>
    </w:p>
    <w:p w14:paraId="70EDFB9D">
      <w:pPr>
        <w:spacing w:line="460" w:lineRule="exact"/>
        <w:rPr>
          <w:color w:val="000000"/>
        </w:rPr>
      </w:pPr>
      <w:r>
        <w:rPr>
          <w:rFonts w:hint="eastAsia"/>
          <w:color w:val="000000"/>
        </w:rPr>
        <w:t>开户银行：</w:t>
      </w:r>
      <w:r>
        <w:rPr>
          <w:rFonts w:hint="eastAsia"/>
          <w:color w:val="000000"/>
          <w:u w:val="single"/>
        </w:rPr>
        <w:t xml:space="preserve">                      </w:t>
      </w:r>
      <w:r>
        <w:rPr>
          <w:rFonts w:hint="eastAsia"/>
          <w:color w:val="000000"/>
        </w:rPr>
        <w:t xml:space="preserve">         开户银行：</w:t>
      </w:r>
      <w:r>
        <w:rPr>
          <w:rFonts w:hint="eastAsia"/>
          <w:color w:val="000000"/>
          <w:u w:val="single"/>
        </w:rPr>
        <w:t xml:space="preserve">                         </w:t>
      </w:r>
      <w:r>
        <w:rPr>
          <w:rFonts w:hint="eastAsia"/>
          <w:color w:val="000000"/>
        </w:rPr>
        <w:t xml:space="preserve">      </w:t>
      </w:r>
    </w:p>
    <w:p w14:paraId="47F42B79">
      <w:pPr>
        <w:adjustRightInd w:val="0"/>
        <w:spacing w:line="460" w:lineRule="exact"/>
        <w:rPr>
          <w:color w:val="000000"/>
        </w:rPr>
      </w:pPr>
      <w:r>
        <w:rPr>
          <w:rFonts w:hint="eastAsia"/>
          <w:color w:val="000000"/>
        </w:rPr>
        <w:t>账  号：</w:t>
      </w:r>
      <w:r>
        <w:rPr>
          <w:rFonts w:hint="eastAsia"/>
          <w:color w:val="000000"/>
          <w:u w:val="single"/>
        </w:rPr>
        <w:t xml:space="preserve">                          </w:t>
      </w:r>
      <w:r>
        <w:rPr>
          <w:rFonts w:hint="eastAsia"/>
          <w:color w:val="000000"/>
        </w:rPr>
        <w:t>       账  号：</w:t>
      </w:r>
      <w:r>
        <w:rPr>
          <w:rFonts w:hint="eastAsia"/>
          <w:color w:val="000000"/>
          <w:u w:val="single"/>
        </w:rPr>
        <w:t xml:space="preserve">                            </w:t>
      </w:r>
      <w:r>
        <w:rPr>
          <w:rFonts w:hint="eastAsia"/>
          <w:color w:val="000000"/>
        </w:rPr>
        <w:t xml:space="preserve">   </w:t>
      </w:r>
    </w:p>
    <w:p w14:paraId="7EB7F6B5">
      <w:pPr>
        <w:widowControl/>
        <w:rPr>
          <w:color w:val="000000"/>
        </w:rPr>
      </w:pPr>
      <w:r>
        <w:rPr>
          <w:color w:val="000000"/>
        </w:rPr>
        <w:br w:type="page"/>
      </w:r>
    </w:p>
    <w:p w14:paraId="58330027">
      <w:pPr>
        <w:spacing w:line="360" w:lineRule="auto"/>
        <w:ind w:firstLine="562" w:firstLineChars="200"/>
        <w:jc w:val="center"/>
        <w:rPr>
          <w:rFonts w:cs="仿宋_GB2312"/>
          <w:b/>
          <w:bCs/>
          <w:sz w:val="28"/>
          <w:szCs w:val="21"/>
        </w:rPr>
      </w:pPr>
      <w:r>
        <w:rPr>
          <w:rFonts w:hint="eastAsia" w:cs="仿宋_GB2312"/>
          <w:b/>
          <w:bCs/>
          <w:sz w:val="28"/>
          <w:szCs w:val="21"/>
        </w:rPr>
        <w:t>第二部分 通用合同条款（略）</w:t>
      </w:r>
    </w:p>
    <w:p w14:paraId="30E848BA">
      <w:pPr>
        <w:jc w:val="center"/>
      </w:pPr>
      <w:r>
        <w:rPr>
          <w:rFonts w:hint="eastAsia"/>
        </w:rPr>
        <w:t>详见“</w:t>
      </w:r>
      <w:r>
        <w:t>建设工程施工合同（示范文本）（GF—201</w:t>
      </w:r>
      <w:r>
        <w:rPr>
          <w:rFonts w:hint="eastAsia"/>
        </w:rPr>
        <w:t>7</w:t>
      </w:r>
      <w:r>
        <w:t>—</w:t>
      </w:r>
      <w:r>
        <w:rPr>
          <w:rFonts w:hint="eastAsia"/>
        </w:rPr>
        <w:t>0201）”通用合同条款</w:t>
      </w:r>
    </w:p>
    <w:p w14:paraId="0B89CB9E">
      <w:pPr>
        <w:adjustRightInd w:val="0"/>
        <w:spacing w:line="360" w:lineRule="auto"/>
        <w:jc w:val="center"/>
        <w:rPr>
          <w:rFonts w:cs="黑体"/>
          <w:b/>
          <w:bCs/>
          <w:color w:val="000000"/>
          <w:sz w:val="28"/>
          <w:szCs w:val="21"/>
        </w:rPr>
      </w:pPr>
      <w:r>
        <w:rPr>
          <w:rFonts w:hint="eastAsia" w:cs="黑体"/>
          <w:b/>
          <w:bCs/>
          <w:color w:val="000000"/>
          <w:sz w:val="28"/>
          <w:szCs w:val="21"/>
        </w:rPr>
        <w:t>第三部分 专用合同条款</w:t>
      </w:r>
      <w:bookmarkStart w:id="33" w:name="_Toc351203633"/>
    </w:p>
    <w:p w14:paraId="53F9DB89">
      <w:pPr>
        <w:adjustRightInd w:val="0"/>
        <w:spacing w:line="360" w:lineRule="auto"/>
        <w:rPr>
          <w:rFonts w:cs="黑体"/>
          <w:bCs/>
          <w:color w:val="000000"/>
          <w:sz w:val="28"/>
          <w:szCs w:val="21"/>
        </w:rPr>
      </w:pPr>
      <w:r>
        <w:rPr>
          <w:rFonts w:hint="eastAsia"/>
          <w:color w:val="000000"/>
          <w:szCs w:val="21"/>
        </w:rPr>
        <w:t>1</w:t>
      </w:r>
      <w:bookmarkStart w:id="34" w:name="_Toc292559361"/>
      <w:bookmarkStart w:id="35" w:name="_Toc296944495"/>
      <w:bookmarkStart w:id="36" w:name="_Toc297120456"/>
      <w:bookmarkStart w:id="37" w:name="_Toc296346657"/>
      <w:bookmarkStart w:id="38" w:name="_Toc296503156"/>
      <w:bookmarkStart w:id="39" w:name="_Toc292559866"/>
      <w:bookmarkStart w:id="40" w:name="_Toc296347155"/>
      <w:bookmarkStart w:id="41" w:name="_Toc296890984"/>
      <w:bookmarkStart w:id="42" w:name="_Toc296891196"/>
      <w:bookmarkStart w:id="43" w:name="_Toc297048342"/>
      <w:r>
        <w:rPr>
          <w:rFonts w:hint="eastAsia"/>
          <w:color w:val="000000"/>
          <w:szCs w:val="21"/>
        </w:rPr>
        <w:t>. 一般约定</w:t>
      </w:r>
      <w:bookmarkEnd w:id="33"/>
    </w:p>
    <w:bookmarkEnd w:id="34"/>
    <w:bookmarkEnd w:id="35"/>
    <w:bookmarkEnd w:id="36"/>
    <w:bookmarkEnd w:id="37"/>
    <w:bookmarkEnd w:id="38"/>
    <w:bookmarkEnd w:id="39"/>
    <w:bookmarkEnd w:id="40"/>
    <w:bookmarkEnd w:id="41"/>
    <w:bookmarkEnd w:id="42"/>
    <w:bookmarkEnd w:id="43"/>
    <w:p w14:paraId="26E167DA">
      <w:pPr>
        <w:spacing w:line="360" w:lineRule="auto"/>
        <w:rPr>
          <w:color w:val="000000"/>
          <w:szCs w:val="21"/>
        </w:rPr>
      </w:pPr>
      <w:r>
        <w:rPr>
          <w:rFonts w:hint="eastAsia"/>
          <w:color w:val="000000"/>
          <w:szCs w:val="21"/>
        </w:rPr>
        <w:t>1.1 词语定义</w:t>
      </w:r>
    </w:p>
    <w:p w14:paraId="0A7B146A">
      <w:pPr>
        <w:spacing w:line="360" w:lineRule="auto"/>
        <w:rPr>
          <w:color w:val="000000"/>
          <w:szCs w:val="21"/>
        </w:rPr>
      </w:pPr>
      <w:r>
        <w:rPr>
          <w:rFonts w:hint="eastAsia"/>
          <w:color w:val="000000"/>
          <w:szCs w:val="21"/>
        </w:rPr>
        <w:t>1.1.1合同</w:t>
      </w:r>
    </w:p>
    <w:p w14:paraId="542577DA">
      <w:pPr>
        <w:spacing w:line="360" w:lineRule="auto"/>
        <w:rPr>
          <w:color w:val="000000"/>
          <w:szCs w:val="21"/>
        </w:rPr>
      </w:pPr>
      <w:r>
        <w:rPr>
          <w:rFonts w:hint="eastAsia"/>
          <w:color w:val="000000"/>
          <w:szCs w:val="21"/>
        </w:rPr>
        <w:t>1.1.1.10其他合同文件包括：</w:t>
      </w:r>
      <w:r>
        <w:rPr>
          <w:rFonts w:hint="eastAsia"/>
          <w:color w:val="000000"/>
          <w:szCs w:val="21"/>
          <w:u w:val="single"/>
        </w:rPr>
        <w:t xml:space="preserve">                      </w:t>
      </w:r>
      <w:r>
        <w:rPr>
          <w:rFonts w:hint="eastAsia"/>
          <w:color w:val="000000"/>
          <w:szCs w:val="21"/>
        </w:rPr>
        <w:t>。</w:t>
      </w:r>
    </w:p>
    <w:p w14:paraId="39A3F2F4">
      <w:pPr>
        <w:spacing w:line="360" w:lineRule="auto"/>
        <w:rPr>
          <w:color w:val="000000"/>
          <w:szCs w:val="21"/>
        </w:rPr>
      </w:pPr>
      <w:r>
        <w:rPr>
          <w:rFonts w:hint="eastAsia"/>
          <w:color w:val="000000"/>
          <w:szCs w:val="21"/>
        </w:rPr>
        <w:t>1.1.2 合同当事人及其他相关方</w:t>
      </w:r>
    </w:p>
    <w:p w14:paraId="6FE777B0">
      <w:pPr>
        <w:spacing w:line="360" w:lineRule="auto"/>
        <w:rPr>
          <w:color w:val="000000"/>
          <w:szCs w:val="21"/>
        </w:rPr>
      </w:pPr>
      <w:r>
        <w:rPr>
          <w:rFonts w:hint="eastAsia"/>
          <w:color w:val="000000"/>
          <w:szCs w:val="21"/>
        </w:rPr>
        <w:t>1.1.2.4监理人：</w:t>
      </w:r>
    </w:p>
    <w:p w14:paraId="63A8AAFA">
      <w:pPr>
        <w:spacing w:line="360" w:lineRule="auto"/>
        <w:rPr>
          <w:color w:val="000000"/>
          <w:szCs w:val="21"/>
        </w:rPr>
      </w:pPr>
      <w:r>
        <w:rPr>
          <w:rFonts w:hint="eastAsia"/>
          <w:color w:val="000000"/>
          <w:szCs w:val="21"/>
        </w:rPr>
        <w:t>名    称：</w:t>
      </w:r>
      <w:r>
        <w:rPr>
          <w:rFonts w:hint="eastAsia"/>
          <w:color w:val="000000"/>
          <w:szCs w:val="21"/>
          <w:u w:val="single"/>
        </w:rPr>
        <w:t xml:space="preserve">                </w:t>
      </w:r>
      <w:r>
        <w:rPr>
          <w:rFonts w:hint="eastAsia"/>
          <w:color w:val="000000"/>
          <w:szCs w:val="21"/>
        </w:rPr>
        <w:t>；</w:t>
      </w:r>
    </w:p>
    <w:p w14:paraId="6978C82D">
      <w:pPr>
        <w:spacing w:line="360" w:lineRule="auto"/>
        <w:rPr>
          <w:color w:val="000000"/>
          <w:szCs w:val="21"/>
        </w:rPr>
      </w:pPr>
      <w:r>
        <w:rPr>
          <w:rFonts w:hint="eastAsia"/>
          <w:color w:val="000000"/>
          <w:szCs w:val="21"/>
        </w:rPr>
        <w:t>资质类别和等级：</w:t>
      </w:r>
      <w:r>
        <w:rPr>
          <w:rFonts w:hint="eastAsia"/>
          <w:color w:val="000000"/>
          <w:szCs w:val="21"/>
          <w:u w:val="single"/>
        </w:rPr>
        <w:t>               </w:t>
      </w:r>
      <w:r>
        <w:rPr>
          <w:rFonts w:hint="eastAsia"/>
          <w:color w:val="000000"/>
          <w:szCs w:val="21"/>
        </w:rPr>
        <w:t>；</w:t>
      </w:r>
    </w:p>
    <w:p w14:paraId="717E79F0">
      <w:pPr>
        <w:spacing w:line="360" w:lineRule="auto"/>
        <w:rPr>
          <w:color w:val="000000"/>
          <w:szCs w:val="21"/>
        </w:rPr>
      </w:pPr>
      <w:r>
        <w:rPr>
          <w:rFonts w:hint="eastAsia"/>
          <w:color w:val="000000"/>
          <w:szCs w:val="21"/>
        </w:rPr>
        <w:t>联系电话：</w:t>
      </w:r>
      <w:r>
        <w:rPr>
          <w:rFonts w:hint="eastAsia"/>
          <w:color w:val="000000"/>
          <w:szCs w:val="21"/>
          <w:u w:val="single"/>
        </w:rPr>
        <w:t>                </w:t>
      </w:r>
      <w:r>
        <w:rPr>
          <w:rFonts w:hint="eastAsia"/>
          <w:color w:val="000000"/>
          <w:szCs w:val="21"/>
        </w:rPr>
        <w:t>；</w:t>
      </w:r>
    </w:p>
    <w:p w14:paraId="0C79F21E">
      <w:pPr>
        <w:spacing w:line="360" w:lineRule="auto"/>
        <w:rPr>
          <w:color w:val="000000"/>
          <w:szCs w:val="21"/>
        </w:rPr>
      </w:pPr>
      <w:r>
        <w:rPr>
          <w:rFonts w:hint="eastAsia"/>
          <w:color w:val="000000"/>
          <w:szCs w:val="21"/>
        </w:rPr>
        <w:t>电子信箱：</w:t>
      </w:r>
      <w:r>
        <w:rPr>
          <w:rFonts w:hint="eastAsia"/>
          <w:color w:val="000000"/>
          <w:szCs w:val="21"/>
          <w:u w:val="single"/>
        </w:rPr>
        <w:t>                </w:t>
      </w:r>
      <w:r>
        <w:rPr>
          <w:rFonts w:hint="eastAsia"/>
          <w:color w:val="000000"/>
          <w:szCs w:val="21"/>
        </w:rPr>
        <w:t>；</w:t>
      </w:r>
    </w:p>
    <w:p w14:paraId="0058358A">
      <w:pPr>
        <w:spacing w:line="360" w:lineRule="auto"/>
        <w:rPr>
          <w:color w:val="000000"/>
          <w:szCs w:val="21"/>
        </w:rPr>
      </w:pPr>
      <w:r>
        <w:rPr>
          <w:rFonts w:hint="eastAsia"/>
          <w:color w:val="000000"/>
          <w:szCs w:val="21"/>
        </w:rPr>
        <w:t>通信地址：</w:t>
      </w:r>
      <w:r>
        <w:rPr>
          <w:rFonts w:hint="eastAsia"/>
          <w:color w:val="000000"/>
          <w:szCs w:val="21"/>
          <w:u w:val="single"/>
        </w:rPr>
        <w:t>                </w:t>
      </w:r>
      <w:r>
        <w:rPr>
          <w:rFonts w:hint="eastAsia"/>
          <w:color w:val="000000"/>
          <w:szCs w:val="21"/>
        </w:rPr>
        <w:t>。</w:t>
      </w:r>
    </w:p>
    <w:p w14:paraId="4731DE9E">
      <w:pPr>
        <w:spacing w:line="360" w:lineRule="auto"/>
        <w:rPr>
          <w:color w:val="000000"/>
          <w:szCs w:val="21"/>
        </w:rPr>
      </w:pPr>
      <w:r>
        <w:rPr>
          <w:rFonts w:hint="eastAsia"/>
          <w:color w:val="000000"/>
          <w:szCs w:val="21"/>
        </w:rPr>
        <w:t>1.1.2.5 设计人：</w:t>
      </w:r>
    </w:p>
    <w:p w14:paraId="29E87BE1">
      <w:pPr>
        <w:spacing w:line="360" w:lineRule="auto"/>
        <w:rPr>
          <w:color w:val="000000"/>
          <w:szCs w:val="21"/>
        </w:rPr>
      </w:pPr>
      <w:r>
        <w:rPr>
          <w:rFonts w:hint="eastAsia"/>
          <w:color w:val="000000"/>
          <w:szCs w:val="21"/>
        </w:rPr>
        <w:t>名    称：</w:t>
      </w:r>
      <w:r>
        <w:rPr>
          <w:rFonts w:hint="eastAsia"/>
          <w:color w:val="000000"/>
          <w:szCs w:val="21"/>
          <w:u w:val="single"/>
        </w:rPr>
        <w:t xml:space="preserve">                 </w:t>
      </w:r>
      <w:r>
        <w:rPr>
          <w:rFonts w:hint="eastAsia"/>
          <w:color w:val="000000"/>
          <w:szCs w:val="21"/>
        </w:rPr>
        <w:t>；</w:t>
      </w:r>
    </w:p>
    <w:p w14:paraId="1B68F709">
      <w:pPr>
        <w:spacing w:line="360" w:lineRule="auto"/>
        <w:rPr>
          <w:color w:val="000000"/>
          <w:szCs w:val="21"/>
        </w:rPr>
      </w:pPr>
      <w:r>
        <w:rPr>
          <w:rFonts w:hint="eastAsia"/>
          <w:color w:val="000000"/>
          <w:szCs w:val="21"/>
        </w:rPr>
        <w:t>资质类别和等级：</w:t>
      </w:r>
      <w:r>
        <w:rPr>
          <w:rFonts w:hint="eastAsia"/>
          <w:color w:val="000000"/>
          <w:szCs w:val="21"/>
          <w:u w:val="single"/>
        </w:rPr>
        <w:t>               </w:t>
      </w:r>
      <w:r>
        <w:rPr>
          <w:rFonts w:hint="eastAsia"/>
          <w:color w:val="000000"/>
          <w:szCs w:val="21"/>
        </w:rPr>
        <w:t>；</w:t>
      </w:r>
    </w:p>
    <w:p w14:paraId="7F3838C1">
      <w:pPr>
        <w:spacing w:line="360" w:lineRule="auto"/>
        <w:rPr>
          <w:color w:val="000000"/>
          <w:szCs w:val="21"/>
        </w:rPr>
      </w:pPr>
      <w:r>
        <w:rPr>
          <w:rFonts w:hint="eastAsia"/>
          <w:color w:val="000000"/>
          <w:szCs w:val="21"/>
        </w:rPr>
        <w:t>联系电话：</w:t>
      </w:r>
      <w:r>
        <w:rPr>
          <w:rFonts w:hint="eastAsia"/>
          <w:color w:val="000000"/>
          <w:szCs w:val="21"/>
          <w:u w:val="single"/>
        </w:rPr>
        <w:t>                 </w:t>
      </w:r>
      <w:r>
        <w:rPr>
          <w:rFonts w:hint="eastAsia"/>
          <w:color w:val="000000"/>
          <w:szCs w:val="21"/>
        </w:rPr>
        <w:t>；</w:t>
      </w:r>
    </w:p>
    <w:p w14:paraId="5A13F05F">
      <w:pPr>
        <w:spacing w:line="360" w:lineRule="auto"/>
        <w:rPr>
          <w:color w:val="000000"/>
          <w:szCs w:val="21"/>
        </w:rPr>
      </w:pPr>
      <w:r>
        <w:rPr>
          <w:rFonts w:hint="eastAsia"/>
          <w:color w:val="000000"/>
          <w:szCs w:val="21"/>
        </w:rPr>
        <w:t>电子信箱：</w:t>
      </w:r>
      <w:r>
        <w:rPr>
          <w:rFonts w:hint="eastAsia"/>
          <w:color w:val="000000"/>
          <w:szCs w:val="21"/>
          <w:u w:val="single"/>
        </w:rPr>
        <w:t xml:space="preserve">                    </w:t>
      </w:r>
      <w:r>
        <w:rPr>
          <w:rFonts w:hint="eastAsia"/>
          <w:color w:val="000000"/>
          <w:szCs w:val="21"/>
        </w:rPr>
        <w:t>；</w:t>
      </w:r>
    </w:p>
    <w:p w14:paraId="20DA54CF">
      <w:pPr>
        <w:spacing w:line="360" w:lineRule="auto"/>
        <w:rPr>
          <w:color w:val="000000"/>
          <w:szCs w:val="21"/>
        </w:rPr>
      </w:pPr>
      <w:r>
        <w:rPr>
          <w:rFonts w:hint="eastAsia"/>
          <w:color w:val="000000"/>
          <w:szCs w:val="21"/>
        </w:rPr>
        <w:t>通信地址：</w:t>
      </w:r>
      <w:r>
        <w:rPr>
          <w:rFonts w:hint="eastAsia"/>
          <w:color w:val="000000"/>
          <w:szCs w:val="21"/>
          <w:u w:val="single"/>
        </w:rPr>
        <w:t>                </w:t>
      </w:r>
      <w:r>
        <w:rPr>
          <w:rFonts w:hint="eastAsia"/>
          <w:color w:val="000000"/>
          <w:szCs w:val="21"/>
        </w:rPr>
        <w:t>。</w:t>
      </w:r>
    </w:p>
    <w:p w14:paraId="527B559D">
      <w:pPr>
        <w:spacing w:line="360" w:lineRule="auto"/>
        <w:rPr>
          <w:color w:val="000000"/>
          <w:szCs w:val="21"/>
        </w:rPr>
      </w:pPr>
      <w:r>
        <w:rPr>
          <w:rFonts w:hint="eastAsia"/>
          <w:color w:val="000000"/>
          <w:szCs w:val="21"/>
        </w:rPr>
        <w:t>1.1.3 工程和设备</w:t>
      </w:r>
    </w:p>
    <w:p w14:paraId="6AB8C294">
      <w:pPr>
        <w:spacing w:line="360" w:lineRule="auto"/>
        <w:rPr>
          <w:color w:val="000000"/>
          <w:szCs w:val="21"/>
          <w:u w:val="single"/>
        </w:rPr>
      </w:pPr>
      <w:r>
        <w:rPr>
          <w:rFonts w:hint="eastAsia"/>
          <w:color w:val="000000"/>
          <w:szCs w:val="21"/>
        </w:rPr>
        <w:t>1.1.3.7 作为施工现场组成部分的其他场所包括：</w:t>
      </w:r>
      <w:r>
        <w:rPr>
          <w:rFonts w:hint="eastAsia"/>
          <w:color w:val="000000"/>
          <w:szCs w:val="21"/>
          <w:u w:val="single"/>
        </w:rPr>
        <w:t xml:space="preserve">           。</w:t>
      </w:r>
    </w:p>
    <w:p w14:paraId="4C46E100">
      <w:pPr>
        <w:spacing w:line="360" w:lineRule="auto"/>
        <w:rPr>
          <w:color w:val="000000"/>
          <w:szCs w:val="21"/>
        </w:rPr>
      </w:pPr>
      <w:r>
        <w:rPr>
          <w:rFonts w:hint="eastAsia"/>
          <w:color w:val="000000"/>
          <w:szCs w:val="21"/>
        </w:rPr>
        <w:t>1.1.3.9 永久占地包括：</w:t>
      </w:r>
      <w:r>
        <w:rPr>
          <w:rFonts w:hint="eastAsia"/>
          <w:color w:val="000000"/>
          <w:szCs w:val="21"/>
          <w:u w:val="single"/>
        </w:rPr>
        <w:t xml:space="preserve">                        </w:t>
      </w:r>
      <w:r>
        <w:rPr>
          <w:rFonts w:hint="eastAsia"/>
          <w:color w:val="000000"/>
          <w:szCs w:val="21"/>
        </w:rPr>
        <w:t>。</w:t>
      </w:r>
    </w:p>
    <w:p w14:paraId="0DAE02F4">
      <w:pPr>
        <w:spacing w:line="360" w:lineRule="auto"/>
        <w:rPr>
          <w:color w:val="000000"/>
          <w:szCs w:val="21"/>
        </w:rPr>
      </w:pPr>
      <w:r>
        <w:rPr>
          <w:rFonts w:hint="eastAsia"/>
          <w:color w:val="000000"/>
          <w:szCs w:val="21"/>
        </w:rPr>
        <w:t>1.1.3.10 临时占地包括：</w:t>
      </w:r>
      <w:r>
        <w:rPr>
          <w:rFonts w:hint="eastAsia"/>
          <w:color w:val="000000"/>
          <w:szCs w:val="21"/>
          <w:u w:val="single"/>
        </w:rPr>
        <w:t xml:space="preserve">                       </w:t>
      </w:r>
      <w:r>
        <w:rPr>
          <w:rFonts w:hint="eastAsia"/>
          <w:color w:val="000000"/>
          <w:szCs w:val="21"/>
        </w:rPr>
        <w:t>。</w:t>
      </w:r>
    </w:p>
    <w:p w14:paraId="0C88DE95">
      <w:pPr>
        <w:spacing w:line="360" w:lineRule="auto"/>
        <w:rPr>
          <w:color w:val="000000"/>
          <w:szCs w:val="21"/>
        </w:rPr>
      </w:pPr>
      <w:r>
        <w:rPr>
          <w:rFonts w:hint="eastAsia"/>
          <w:color w:val="000000"/>
          <w:szCs w:val="21"/>
        </w:rPr>
        <w:t xml:space="preserve">1.3法律 </w:t>
      </w:r>
    </w:p>
    <w:p w14:paraId="03F0B2CD">
      <w:pPr>
        <w:spacing w:line="360" w:lineRule="auto"/>
        <w:rPr>
          <w:color w:val="000000"/>
          <w:szCs w:val="21"/>
        </w:rPr>
      </w:pPr>
      <w:r>
        <w:rPr>
          <w:rFonts w:hint="eastAsia"/>
          <w:color w:val="000000"/>
          <w:szCs w:val="21"/>
        </w:rPr>
        <w:t>适用于合同的其他规范性文件：</w:t>
      </w:r>
      <w:r>
        <w:rPr>
          <w:rFonts w:hint="eastAsia"/>
          <w:color w:val="000000"/>
          <w:szCs w:val="21"/>
          <w:u w:val="single"/>
        </w:rPr>
        <w:t xml:space="preserve">          </w:t>
      </w:r>
      <w:r>
        <w:rPr>
          <w:rFonts w:hint="eastAsia"/>
          <w:color w:val="000000"/>
          <w:szCs w:val="21"/>
        </w:rPr>
        <w:t>。</w:t>
      </w:r>
    </w:p>
    <w:p w14:paraId="5F7AF96C">
      <w:pPr>
        <w:spacing w:line="360" w:lineRule="auto"/>
        <w:rPr>
          <w:color w:val="000000"/>
          <w:szCs w:val="21"/>
        </w:rPr>
      </w:pPr>
      <w:r>
        <w:rPr>
          <w:rFonts w:hint="eastAsia"/>
          <w:color w:val="000000"/>
          <w:szCs w:val="21"/>
        </w:rPr>
        <w:t>1.4 标准和规范</w:t>
      </w:r>
    </w:p>
    <w:p w14:paraId="2EC980A0">
      <w:pPr>
        <w:spacing w:line="360" w:lineRule="auto"/>
        <w:rPr>
          <w:color w:val="000000"/>
          <w:szCs w:val="21"/>
        </w:rPr>
      </w:pPr>
      <w:r>
        <w:rPr>
          <w:rFonts w:hint="eastAsia"/>
          <w:color w:val="000000"/>
          <w:szCs w:val="21"/>
        </w:rPr>
        <w:t>1.4.1适用于工程的标准规范包括：</w:t>
      </w:r>
      <w:r>
        <w:rPr>
          <w:rFonts w:hint="eastAsia"/>
          <w:color w:val="000000"/>
          <w:szCs w:val="21"/>
          <w:u w:val="single"/>
        </w:rPr>
        <w:t>           </w:t>
      </w:r>
      <w:r>
        <w:rPr>
          <w:rFonts w:hint="eastAsia"/>
          <w:color w:val="000000"/>
          <w:szCs w:val="21"/>
        </w:rPr>
        <w:t>。</w:t>
      </w:r>
    </w:p>
    <w:p w14:paraId="44C5385D">
      <w:pPr>
        <w:spacing w:line="360" w:lineRule="auto"/>
        <w:rPr>
          <w:color w:val="000000"/>
          <w:szCs w:val="21"/>
        </w:rPr>
      </w:pPr>
      <w:r>
        <w:rPr>
          <w:rFonts w:hint="eastAsia"/>
          <w:color w:val="000000"/>
          <w:szCs w:val="21"/>
        </w:rPr>
        <w:t>1.4.2 发包人提供国外标准、规范的名称：</w:t>
      </w:r>
      <w:r>
        <w:rPr>
          <w:rFonts w:hint="eastAsia"/>
          <w:color w:val="000000"/>
          <w:szCs w:val="21"/>
          <w:u w:val="single"/>
        </w:rPr>
        <w:t xml:space="preserve">              </w:t>
      </w:r>
      <w:r>
        <w:rPr>
          <w:rFonts w:hint="eastAsia"/>
          <w:color w:val="000000"/>
          <w:szCs w:val="21"/>
        </w:rPr>
        <w:t>；</w:t>
      </w:r>
    </w:p>
    <w:p w14:paraId="2FE69337">
      <w:pPr>
        <w:spacing w:line="360" w:lineRule="auto"/>
        <w:rPr>
          <w:color w:val="000000"/>
          <w:szCs w:val="21"/>
        </w:rPr>
      </w:pPr>
      <w:r>
        <w:rPr>
          <w:rFonts w:hint="eastAsia"/>
          <w:color w:val="000000"/>
          <w:szCs w:val="21"/>
        </w:rPr>
        <w:t>发包人提供国外标准、规范的份数：</w:t>
      </w:r>
      <w:r>
        <w:rPr>
          <w:rFonts w:hint="eastAsia"/>
          <w:color w:val="000000"/>
          <w:szCs w:val="21"/>
          <w:u w:val="single"/>
        </w:rPr>
        <w:t xml:space="preserve">            无          </w:t>
      </w:r>
      <w:r>
        <w:rPr>
          <w:rFonts w:hint="eastAsia"/>
          <w:color w:val="000000"/>
          <w:szCs w:val="21"/>
        </w:rPr>
        <w:t>；</w:t>
      </w:r>
    </w:p>
    <w:p w14:paraId="0B4DE2FC">
      <w:pPr>
        <w:spacing w:line="360" w:lineRule="auto"/>
        <w:rPr>
          <w:color w:val="000000"/>
          <w:szCs w:val="21"/>
        </w:rPr>
      </w:pPr>
      <w:r>
        <w:rPr>
          <w:rFonts w:hint="eastAsia"/>
          <w:color w:val="000000"/>
          <w:szCs w:val="21"/>
        </w:rPr>
        <w:t>发包人提供国外标准、规范的名称：</w:t>
      </w:r>
      <w:r>
        <w:rPr>
          <w:rFonts w:hint="eastAsia"/>
          <w:color w:val="000000"/>
          <w:szCs w:val="21"/>
          <w:u w:val="single"/>
        </w:rPr>
        <w:t xml:space="preserve">             无         </w:t>
      </w:r>
      <w:r>
        <w:rPr>
          <w:rFonts w:hint="eastAsia"/>
          <w:color w:val="000000"/>
          <w:szCs w:val="21"/>
        </w:rPr>
        <w:t>。</w:t>
      </w:r>
    </w:p>
    <w:p w14:paraId="7EC22F47">
      <w:pPr>
        <w:spacing w:line="360" w:lineRule="auto"/>
        <w:rPr>
          <w:color w:val="000000"/>
          <w:szCs w:val="21"/>
        </w:rPr>
      </w:pPr>
      <w:r>
        <w:rPr>
          <w:rFonts w:hint="eastAsia"/>
          <w:color w:val="000000"/>
          <w:szCs w:val="21"/>
        </w:rPr>
        <w:t>1.4.3发包人对工程的技术标准和功能要求的特殊要求：</w:t>
      </w:r>
      <w:r>
        <w:rPr>
          <w:rFonts w:hint="eastAsia"/>
          <w:color w:val="000000"/>
          <w:szCs w:val="21"/>
          <w:u w:val="single"/>
        </w:rPr>
        <w:t xml:space="preserve">                     </w:t>
      </w:r>
      <w:r>
        <w:rPr>
          <w:rFonts w:hint="eastAsia"/>
          <w:color w:val="000000"/>
          <w:szCs w:val="21"/>
        </w:rPr>
        <w:t>。</w:t>
      </w:r>
    </w:p>
    <w:p w14:paraId="0E178381">
      <w:pPr>
        <w:spacing w:line="360" w:lineRule="auto"/>
        <w:rPr>
          <w:color w:val="000000"/>
          <w:szCs w:val="21"/>
        </w:rPr>
      </w:pPr>
      <w:r>
        <w:rPr>
          <w:rFonts w:hint="eastAsia"/>
          <w:color w:val="000000"/>
          <w:szCs w:val="21"/>
        </w:rPr>
        <w:t>1.5 合同文件的优先顺序</w:t>
      </w:r>
    </w:p>
    <w:p w14:paraId="3AAAB557">
      <w:pPr>
        <w:spacing w:line="360" w:lineRule="auto"/>
        <w:rPr>
          <w:color w:val="000000"/>
          <w:szCs w:val="21"/>
        </w:rPr>
      </w:pPr>
      <w:r>
        <w:rPr>
          <w:rFonts w:hint="eastAsia"/>
          <w:color w:val="000000"/>
          <w:szCs w:val="21"/>
        </w:rPr>
        <w:t>合同文件组成及优先顺序为：</w:t>
      </w:r>
      <w:r>
        <w:rPr>
          <w:rFonts w:hint="eastAsia"/>
          <w:color w:val="000000"/>
          <w:szCs w:val="21"/>
          <w:u w:val="single"/>
        </w:rPr>
        <w:t>                       </w:t>
      </w:r>
      <w:r>
        <w:rPr>
          <w:rFonts w:hint="eastAsia"/>
          <w:color w:val="000000"/>
          <w:szCs w:val="21"/>
        </w:rPr>
        <w:t>。</w:t>
      </w:r>
    </w:p>
    <w:p w14:paraId="5F8E9354">
      <w:pPr>
        <w:spacing w:line="360" w:lineRule="auto"/>
        <w:rPr>
          <w:color w:val="000000"/>
          <w:szCs w:val="21"/>
        </w:rPr>
      </w:pPr>
      <w:r>
        <w:rPr>
          <w:rFonts w:hint="eastAsia"/>
          <w:color w:val="000000"/>
          <w:szCs w:val="21"/>
        </w:rPr>
        <w:t>1.6 图纸和承包人文件</w:t>
      </w:r>
      <w:r>
        <w:rPr>
          <w:rFonts w:hint="eastAsia"/>
          <w:color w:val="000000"/>
          <w:szCs w:val="21"/>
        </w:rPr>
        <w:tab/>
      </w:r>
    </w:p>
    <w:p w14:paraId="4FD8E4CF">
      <w:pPr>
        <w:spacing w:line="360" w:lineRule="auto"/>
        <w:rPr>
          <w:color w:val="000000"/>
          <w:szCs w:val="21"/>
        </w:rPr>
      </w:pPr>
      <w:r>
        <w:rPr>
          <w:rFonts w:hint="eastAsia"/>
          <w:color w:val="000000"/>
          <w:szCs w:val="21"/>
        </w:rPr>
        <w:t>1.6.1 图纸的提供</w:t>
      </w:r>
    </w:p>
    <w:p w14:paraId="3A59D39A">
      <w:pPr>
        <w:spacing w:line="360" w:lineRule="auto"/>
        <w:rPr>
          <w:color w:val="000000"/>
          <w:szCs w:val="21"/>
        </w:rPr>
      </w:pPr>
      <w:r>
        <w:rPr>
          <w:rFonts w:hint="eastAsia"/>
          <w:color w:val="000000"/>
          <w:szCs w:val="21"/>
        </w:rPr>
        <w:t>发包人向承包人提供图纸的期限：</w:t>
      </w:r>
      <w:r>
        <w:rPr>
          <w:rFonts w:hint="eastAsia"/>
          <w:color w:val="000000"/>
          <w:szCs w:val="21"/>
          <w:u w:val="single"/>
        </w:rPr>
        <w:t>                 </w:t>
      </w:r>
      <w:r>
        <w:rPr>
          <w:rFonts w:hint="eastAsia"/>
          <w:color w:val="000000"/>
          <w:szCs w:val="21"/>
        </w:rPr>
        <w:t>；</w:t>
      </w:r>
    </w:p>
    <w:p w14:paraId="5B0FBC04">
      <w:pPr>
        <w:spacing w:line="360" w:lineRule="auto"/>
        <w:rPr>
          <w:color w:val="000000"/>
          <w:szCs w:val="21"/>
        </w:rPr>
      </w:pPr>
      <w:r>
        <w:rPr>
          <w:rFonts w:hint="eastAsia"/>
          <w:color w:val="000000"/>
          <w:szCs w:val="21"/>
        </w:rPr>
        <w:t>发包人向承包人提供图纸的数量：</w:t>
      </w:r>
      <w:r>
        <w:rPr>
          <w:rFonts w:hint="eastAsia"/>
          <w:color w:val="000000"/>
          <w:szCs w:val="21"/>
          <w:u w:val="single"/>
        </w:rPr>
        <w:t>      </w:t>
      </w:r>
      <w:r>
        <w:rPr>
          <w:rFonts w:hint="eastAsia"/>
          <w:color w:val="000000"/>
          <w:szCs w:val="21"/>
        </w:rPr>
        <w:t>；</w:t>
      </w:r>
    </w:p>
    <w:p w14:paraId="01DC163A">
      <w:pPr>
        <w:spacing w:line="360" w:lineRule="auto"/>
        <w:rPr>
          <w:color w:val="000000"/>
          <w:szCs w:val="21"/>
        </w:rPr>
      </w:pPr>
      <w:r>
        <w:rPr>
          <w:rFonts w:hint="eastAsia"/>
          <w:color w:val="000000"/>
          <w:szCs w:val="21"/>
        </w:rPr>
        <w:t>发包人向承包人提供图纸的内容：</w:t>
      </w:r>
      <w:r>
        <w:rPr>
          <w:rFonts w:hint="eastAsia"/>
          <w:color w:val="000000"/>
          <w:szCs w:val="21"/>
          <w:u w:val="single"/>
        </w:rPr>
        <w:t>         </w:t>
      </w:r>
      <w:r>
        <w:rPr>
          <w:rFonts w:hint="eastAsia"/>
          <w:color w:val="000000"/>
          <w:szCs w:val="21"/>
        </w:rPr>
        <w:t>；</w:t>
      </w:r>
    </w:p>
    <w:p w14:paraId="7B81F862">
      <w:pPr>
        <w:spacing w:line="360" w:lineRule="auto"/>
        <w:rPr>
          <w:color w:val="000000"/>
          <w:szCs w:val="21"/>
        </w:rPr>
      </w:pPr>
      <w:r>
        <w:rPr>
          <w:rFonts w:hint="eastAsia"/>
          <w:color w:val="000000"/>
          <w:szCs w:val="21"/>
        </w:rPr>
        <w:t>1.6.4 承包人文件</w:t>
      </w:r>
    </w:p>
    <w:p w14:paraId="6536D0B8">
      <w:pPr>
        <w:spacing w:line="360" w:lineRule="auto"/>
        <w:rPr>
          <w:color w:val="000000"/>
          <w:szCs w:val="21"/>
        </w:rPr>
      </w:pPr>
      <w:r>
        <w:rPr>
          <w:rFonts w:hint="eastAsia"/>
          <w:color w:val="000000"/>
          <w:szCs w:val="21"/>
        </w:rPr>
        <w:t>需要由承包人提供的文件，包括：</w:t>
      </w:r>
      <w:r>
        <w:rPr>
          <w:rFonts w:hint="eastAsia"/>
          <w:color w:val="000000"/>
          <w:szCs w:val="21"/>
          <w:u w:val="single"/>
        </w:rPr>
        <w:t xml:space="preserve">            </w:t>
      </w:r>
      <w:r>
        <w:rPr>
          <w:rFonts w:hint="eastAsia"/>
          <w:color w:val="000000"/>
          <w:szCs w:val="21"/>
        </w:rPr>
        <w:t>；</w:t>
      </w:r>
    </w:p>
    <w:p w14:paraId="1CD0E03D">
      <w:pPr>
        <w:spacing w:line="360" w:lineRule="auto"/>
        <w:rPr>
          <w:color w:val="000000"/>
          <w:szCs w:val="21"/>
        </w:rPr>
      </w:pPr>
      <w:r>
        <w:rPr>
          <w:rFonts w:hint="eastAsia"/>
          <w:color w:val="000000"/>
          <w:szCs w:val="21"/>
        </w:rPr>
        <w:t>承包人提供的文件的期限为：</w:t>
      </w:r>
      <w:r>
        <w:rPr>
          <w:rFonts w:hint="eastAsia"/>
          <w:color w:val="000000"/>
          <w:szCs w:val="21"/>
          <w:u w:val="single"/>
        </w:rPr>
        <w:t>       </w:t>
      </w:r>
      <w:r>
        <w:rPr>
          <w:rFonts w:hint="eastAsia"/>
          <w:color w:val="000000"/>
          <w:szCs w:val="21"/>
        </w:rPr>
        <w:t>；</w:t>
      </w:r>
    </w:p>
    <w:p w14:paraId="7FB73596">
      <w:pPr>
        <w:spacing w:line="360" w:lineRule="auto"/>
        <w:rPr>
          <w:color w:val="000000"/>
          <w:szCs w:val="21"/>
        </w:rPr>
      </w:pPr>
      <w:r>
        <w:rPr>
          <w:rFonts w:hint="eastAsia"/>
          <w:color w:val="000000"/>
          <w:szCs w:val="21"/>
        </w:rPr>
        <w:t>承包人提供的文件的数量为：</w:t>
      </w:r>
      <w:r>
        <w:rPr>
          <w:rFonts w:hint="eastAsia"/>
          <w:color w:val="000000"/>
          <w:szCs w:val="21"/>
          <w:u w:val="single"/>
        </w:rPr>
        <w:t>          </w:t>
      </w:r>
      <w:r>
        <w:rPr>
          <w:rFonts w:hint="eastAsia"/>
          <w:color w:val="000000"/>
          <w:szCs w:val="21"/>
        </w:rPr>
        <w:t>；</w:t>
      </w:r>
    </w:p>
    <w:p w14:paraId="37221289">
      <w:pPr>
        <w:spacing w:line="360" w:lineRule="auto"/>
        <w:rPr>
          <w:color w:val="000000"/>
          <w:szCs w:val="21"/>
        </w:rPr>
      </w:pPr>
      <w:r>
        <w:rPr>
          <w:rFonts w:hint="eastAsia"/>
          <w:color w:val="000000"/>
          <w:szCs w:val="21"/>
        </w:rPr>
        <w:t>承包人提供的文件的形式为：</w:t>
      </w:r>
      <w:r>
        <w:rPr>
          <w:rFonts w:hint="eastAsia"/>
          <w:color w:val="000000"/>
          <w:szCs w:val="21"/>
          <w:u w:val="single"/>
        </w:rPr>
        <w:t>       </w:t>
      </w:r>
      <w:r>
        <w:rPr>
          <w:rFonts w:hint="eastAsia"/>
          <w:color w:val="000000"/>
          <w:szCs w:val="21"/>
        </w:rPr>
        <w:t>；</w:t>
      </w:r>
    </w:p>
    <w:p w14:paraId="49DDCF4E">
      <w:pPr>
        <w:spacing w:line="360" w:lineRule="auto"/>
        <w:rPr>
          <w:color w:val="000000"/>
          <w:szCs w:val="21"/>
        </w:rPr>
      </w:pPr>
      <w:r>
        <w:rPr>
          <w:rFonts w:hint="eastAsia"/>
          <w:color w:val="000000"/>
          <w:szCs w:val="21"/>
        </w:rPr>
        <w:t>发包人审批承包人文件的期限：</w:t>
      </w:r>
      <w:r>
        <w:rPr>
          <w:rFonts w:hint="eastAsia"/>
          <w:color w:val="000000"/>
          <w:szCs w:val="21"/>
          <w:u w:val="single"/>
        </w:rPr>
        <w:t>       </w:t>
      </w:r>
      <w:r>
        <w:rPr>
          <w:rFonts w:hint="eastAsia"/>
          <w:color w:val="000000"/>
          <w:szCs w:val="21"/>
        </w:rPr>
        <w:t>。</w:t>
      </w:r>
    </w:p>
    <w:p w14:paraId="23109EB6">
      <w:pPr>
        <w:spacing w:line="360" w:lineRule="auto"/>
        <w:rPr>
          <w:color w:val="000000"/>
          <w:szCs w:val="21"/>
        </w:rPr>
      </w:pPr>
      <w:r>
        <w:rPr>
          <w:rFonts w:hint="eastAsia"/>
          <w:color w:val="000000"/>
          <w:szCs w:val="21"/>
        </w:rPr>
        <w:t>1.6.5 现场图纸准备</w:t>
      </w:r>
    </w:p>
    <w:p w14:paraId="2EB9D6DF">
      <w:pPr>
        <w:spacing w:line="360" w:lineRule="auto"/>
        <w:rPr>
          <w:color w:val="000000"/>
          <w:szCs w:val="21"/>
        </w:rPr>
      </w:pPr>
      <w:r>
        <w:rPr>
          <w:rFonts w:hint="eastAsia"/>
          <w:color w:val="000000"/>
          <w:szCs w:val="21"/>
        </w:rPr>
        <w:t>关于现场图纸准备的约定：</w:t>
      </w:r>
      <w:r>
        <w:rPr>
          <w:rFonts w:hint="eastAsia"/>
          <w:color w:val="000000"/>
          <w:szCs w:val="21"/>
          <w:u w:val="single"/>
        </w:rPr>
        <w:t>          </w:t>
      </w:r>
      <w:r>
        <w:rPr>
          <w:rFonts w:hint="eastAsia"/>
          <w:color w:val="000000"/>
          <w:szCs w:val="21"/>
        </w:rPr>
        <w:t>。</w:t>
      </w:r>
    </w:p>
    <w:p w14:paraId="2DA2BCC1">
      <w:pPr>
        <w:spacing w:line="360" w:lineRule="auto"/>
        <w:rPr>
          <w:color w:val="000000"/>
          <w:szCs w:val="21"/>
        </w:rPr>
      </w:pPr>
      <w:r>
        <w:rPr>
          <w:rFonts w:hint="eastAsia"/>
          <w:color w:val="000000"/>
          <w:szCs w:val="21"/>
        </w:rPr>
        <w:t>1.7 联络</w:t>
      </w:r>
    </w:p>
    <w:p w14:paraId="4CA18C89">
      <w:pPr>
        <w:spacing w:line="360" w:lineRule="auto"/>
        <w:rPr>
          <w:color w:val="000000"/>
          <w:szCs w:val="21"/>
        </w:rPr>
      </w:pPr>
      <w:r>
        <w:rPr>
          <w:rFonts w:hint="eastAsia"/>
          <w:color w:val="000000"/>
          <w:szCs w:val="21"/>
        </w:rPr>
        <w:t>1.7.1发包人和承包人应当在</w:t>
      </w:r>
      <w:r>
        <w:rPr>
          <w:rFonts w:hint="eastAsia"/>
          <w:color w:val="000000"/>
          <w:szCs w:val="21"/>
          <w:u w:val="single"/>
        </w:rPr>
        <w:t xml:space="preserve">    </w:t>
      </w:r>
      <w:r>
        <w:rPr>
          <w:rFonts w:hint="eastAsia"/>
          <w:color w:val="000000"/>
          <w:szCs w:val="21"/>
        </w:rPr>
        <w:t>天内将与合同有关的通知、批准、证明、证书、指示、指令、要求、请求、同意、意见、确定和决定等书面函件送达对方当事人。</w:t>
      </w:r>
    </w:p>
    <w:p w14:paraId="31EB6A4E">
      <w:pPr>
        <w:spacing w:line="360" w:lineRule="auto"/>
        <w:rPr>
          <w:color w:val="000000"/>
          <w:szCs w:val="21"/>
        </w:rPr>
      </w:pPr>
      <w:r>
        <w:rPr>
          <w:rFonts w:hint="eastAsia"/>
          <w:color w:val="000000"/>
          <w:szCs w:val="21"/>
        </w:rPr>
        <w:t>1.7.2 发包人接收文件的地点：</w:t>
      </w:r>
      <w:r>
        <w:rPr>
          <w:rFonts w:hint="eastAsia"/>
          <w:color w:val="000000"/>
          <w:szCs w:val="21"/>
          <w:u w:val="single"/>
        </w:rPr>
        <w:t>      </w:t>
      </w:r>
      <w:r>
        <w:rPr>
          <w:rFonts w:hint="eastAsia"/>
          <w:color w:val="000000"/>
          <w:szCs w:val="21"/>
        </w:rPr>
        <w:t>；</w:t>
      </w:r>
    </w:p>
    <w:p w14:paraId="27CFAB60">
      <w:pPr>
        <w:spacing w:line="360" w:lineRule="auto"/>
        <w:rPr>
          <w:color w:val="000000"/>
          <w:szCs w:val="21"/>
        </w:rPr>
      </w:pPr>
      <w:r>
        <w:rPr>
          <w:rFonts w:hint="eastAsia"/>
          <w:color w:val="000000"/>
          <w:szCs w:val="21"/>
        </w:rPr>
        <w:t>发包人指定的接收人为：</w:t>
      </w:r>
      <w:r>
        <w:rPr>
          <w:rFonts w:hint="eastAsia"/>
          <w:color w:val="000000"/>
          <w:szCs w:val="21"/>
          <w:u w:val="single"/>
        </w:rPr>
        <w:t>               </w:t>
      </w:r>
      <w:r>
        <w:rPr>
          <w:rFonts w:hint="eastAsia"/>
          <w:color w:val="000000"/>
          <w:szCs w:val="21"/>
        </w:rPr>
        <w:t>。</w:t>
      </w:r>
    </w:p>
    <w:p w14:paraId="15796FFF">
      <w:pPr>
        <w:spacing w:line="360" w:lineRule="auto"/>
        <w:rPr>
          <w:color w:val="000000"/>
          <w:szCs w:val="21"/>
        </w:rPr>
      </w:pPr>
      <w:r>
        <w:rPr>
          <w:rFonts w:hint="eastAsia"/>
          <w:color w:val="000000"/>
          <w:szCs w:val="21"/>
        </w:rPr>
        <w:t>承包人接收文件的地点：</w:t>
      </w:r>
      <w:r>
        <w:rPr>
          <w:rFonts w:hint="eastAsia"/>
          <w:color w:val="000000"/>
          <w:szCs w:val="21"/>
          <w:u w:val="single"/>
        </w:rPr>
        <w:t>             </w:t>
      </w:r>
      <w:r>
        <w:rPr>
          <w:rFonts w:hint="eastAsia"/>
          <w:color w:val="000000"/>
          <w:szCs w:val="21"/>
        </w:rPr>
        <w:t>；</w:t>
      </w:r>
    </w:p>
    <w:p w14:paraId="64B5BDB4">
      <w:pPr>
        <w:spacing w:line="360" w:lineRule="auto"/>
        <w:rPr>
          <w:color w:val="000000"/>
          <w:szCs w:val="21"/>
        </w:rPr>
      </w:pPr>
      <w:r>
        <w:rPr>
          <w:rFonts w:hint="eastAsia"/>
          <w:color w:val="000000"/>
          <w:szCs w:val="21"/>
        </w:rPr>
        <w:t>承包人指定的接收人为：</w:t>
      </w:r>
      <w:r>
        <w:rPr>
          <w:rFonts w:hint="eastAsia"/>
          <w:color w:val="000000"/>
          <w:szCs w:val="21"/>
          <w:u w:val="single"/>
        </w:rPr>
        <w:t>             </w:t>
      </w:r>
      <w:r>
        <w:rPr>
          <w:rFonts w:hint="eastAsia"/>
          <w:color w:val="000000"/>
          <w:szCs w:val="21"/>
        </w:rPr>
        <w:t>。</w:t>
      </w:r>
    </w:p>
    <w:p w14:paraId="3B3CFAB0">
      <w:pPr>
        <w:spacing w:line="360" w:lineRule="auto"/>
        <w:rPr>
          <w:color w:val="000000"/>
          <w:szCs w:val="21"/>
        </w:rPr>
      </w:pPr>
      <w:r>
        <w:rPr>
          <w:rFonts w:hint="eastAsia"/>
          <w:color w:val="000000"/>
          <w:szCs w:val="21"/>
        </w:rPr>
        <w:t>监理人接收文件的地点：</w:t>
      </w:r>
      <w:r>
        <w:rPr>
          <w:rFonts w:hint="eastAsia"/>
          <w:color w:val="000000"/>
          <w:szCs w:val="21"/>
          <w:u w:val="single"/>
        </w:rPr>
        <w:t>            </w:t>
      </w:r>
      <w:r>
        <w:rPr>
          <w:rFonts w:hint="eastAsia"/>
          <w:color w:val="000000"/>
          <w:szCs w:val="21"/>
        </w:rPr>
        <w:t>；</w:t>
      </w:r>
    </w:p>
    <w:p w14:paraId="7A7BF128">
      <w:pPr>
        <w:spacing w:line="360" w:lineRule="auto"/>
        <w:rPr>
          <w:color w:val="000000"/>
          <w:szCs w:val="21"/>
        </w:rPr>
      </w:pPr>
      <w:r>
        <w:rPr>
          <w:rFonts w:hint="eastAsia"/>
          <w:color w:val="000000"/>
          <w:szCs w:val="21"/>
        </w:rPr>
        <w:t>监理人指定的接收人为：</w:t>
      </w:r>
      <w:r>
        <w:rPr>
          <w:rFonts w:hint="eastAsia"/>
          <w:color w:val="000000"/>
          <w:szCs w:val="21"/>
          <w:u w:val="single"/>
        </w:rPr>
        <w:t>            </w:t>
      </w:r>
      <w:r>
        <w:rPr>
          <w:rFonts w:hint="eastAsia"/>
          <w:color w:val="000000"/>
          <w:szCs w:val="21"/>
        </w:rPr>
        <w:t>。</w:t>
      </w:r>
    </w:p>
    <w:p w14:paraId="1CF126AE">
      <w:pPr>
        <w:spacing w:line="360" w:lineRule="auto"/>
        <w:rPr>
          <w:color w:val="000000"/>
          <w:szCs w:val="21"/>
        </w:rPr>
      </w:pPr>
      <w:r>
        <w:rPr>
          <w:rFonts w:hint="eastAsia"/>
          <w:color w:val="000000"/>
          <w:szCs w:val="21"/>
        </w:rPr>
        <w:t>1.10 交通运输</w:t>
      </w:r>
    </w:p>
    <w:p w14:paraId="4459AA23">
      <w:pPr>
        <w:spacing w:line="360" w:lineRule="auto"/>
        <w:rPr>
          <w:szCs w:val="21"/>
        </w:rPr>
      </w:pPr>
      <w:r>
        <w:rPr>
          <w:rFonts w:hint="eastAsia"/>
          <w:szCs w:val="21"/>
        </w:rPr>
        <w:t>1</w:t>
      </w:r>
      <w:bookmarkStart w:id="44" w:name="_Toc303539100"/>
      <w:bookmarkStart w:id="45" w:name="_Toc304295521"/>
      <w:bookmarkStart w:id="46" w:name="_Toc300934943"/>
      <w:bookmarkStart w:id="47" w:name="_Toc318581155"/>
      <w:bookmarkStart w:id="48" w:name="_Toc312677986"/>
      <w:r>
        <w:rPr>
          <w:rFonts w:hint="eastAsia"/>
          <w:szCs w:val="21"/>
        </w:rPr>
        <w:t>.10.1 出入现场的权利</w:t>
      </w:r>
    </w:p>
    <w:p w14:paraId="5522644D">
      <w:pPr>
        <w:spacing w:line="360" w:lineRule="auto"/>
        <w:rPr>
          <w:szCs w:val="21"/>
        </w:rPr>
      </w:pPr>
      <w:r>
        <w:rPr>
          <w:rFonts w:hint="eastAsia"/>
          <w:szCs w:val="21"/>
        </w:rPr>
        <w:t>关于出入现场的权利的约定：</w:t>
      </w:r>
      <w:r>
        <w:rPr>
          <w:rFonts w:hint="eastAsia"/>
          <w:color w:val="000000"/>
          <w:szCs w:val="21"/>
          <w:u w:val="single"/>
        </w:rPr>
        <w:t>          </w:t>
      </w:r>
      <w:r>
        <w:rPr>
          <w:rFonts w:hint="eastAsia"/>
          <w:szCs w:val="21"/>
        </w:rPr>
        <w:t>。</w:t>
      </w:r>
    </w:p>
    <w:bookmarkEnd w:id="44"/>
    <w:bookmarkEnd w:id="45"/>
    <w:bookmarkEnd w:id="46"/>
    <w:bookmarkEnd w:id="47"/>
    <w:bookmarkEnd w:id="48"/>
    <w:p w14:paraId="06FB108F">
      <w:pPr>
        <w:spacing w:line="360" w:lineRule="auto"/>
        <w:rPr>
          <w:szCs w:val="21"/>
        </w:rPr>
      </w:pPr>
      <w:r>
        <w:rPr>
          <w:rFonts w:hint="eastAsia"/>
          <w:szCs w:val="21"/>
        </w:rPr>
        <w:t>1</w:t>
      </w:r>
      <w:bookmarkStart w:id="49" w:name="_Toc300934944"/>
      <w:bookmarkStart w:id="50" w:name="_Toc318581156"/>
      <w:bookmarkStart w:id="51" w:name="_Toc312677987"/>
      <w:bookmarkStart w:id="52" w:name="_Toc304295522"/>
      <w:bookmarkStart w:id="53" w:name="_Toc303539101"/>
      <w:r>
        <w:rPr>
          <w:rFonts w:hint="eastAsia"/>
          <w:szCs w:val="21"/>
        </w:rPr>
        <w:t>.10.3 场内交通</w:t>
      </w:r>
    </w:p>
    <w:p w14:paraId="14C66ECC">
      <w:pPr>
        <w:spacing w:line="360" w:lineRule="auto"/>
        <w:rPr>
          <w:color w:val="000000"/>
          <w:szCs w:val="21"/>
        </w:rPr>
      </w:pPr>
      <w:r>
        <w:rPr>
          <w:rFonts w:hint="eastAsia"/>
          <w:color w:val="000000"/>
          <w:szCs w:val="21"/>
        </w:rPr>
        <w:t>关于场外交通和场内交通的边界的约定：</w:t>
      </w:r>
      <w:r>
        <w:rPr>
          <w:rFonts w:hint="eastAsia"/>
          <w:color w:val="000000"/>
          <w:szCs w:val="21"/>
          <w:u w:val="single"/>
        </w:rPr>
        <w:t xml:space="preserve">                     </w:t>
      </w:r>
      <w:r>
        <w:rPr>
          <w:rFonts w:hint="eastAsia"/>
          <w:szCs w:val="21"/>
        </w:rPr>
        <w:t>。</w:t>
      </w:r>
    </w:p>
    <w:p w14:paraId="76E60AF2">
      <w:pPr>
        <w:spacing w:line="360" w:lineRule="auto"/>
        <w:rPr>
          <w:szCs w:val="21"/>
        </w:rPr>
      </w:pPr>
      <w:r>
        <w:rPr>
          <w:rFonts w:hint="eastAsia"/>
          <w:szCs w:val="21"/>
        </w:rPr>
        <w:t>关于发包人向承包人免费提供满足工程施工需要的场内道路和交通设施的约定：</w:t>
      </w:r>
      <w:r>
        <w:rPr>
          <w:rFonts w:hint="eastAsia"/>
          <w:color w:val="000000"/>
          <w:szCs w:val="21"/>
          <w:u w:val="single"/>
        </w:rPr>
        <w:t xml:space="preserve">      </w:t>
      </w:r>
      <w:r>
        <w:rPr>
          <w:rFonts w:hint="eastAsia"/>
          <w:szCs w:val="21"/>
        </w:rPr>
        <w:t>。</w:t>
      </w:r>
      <w:bookmarkEnd w:id="49"/>
      <w:bookmarkEnd w:id="50"/>
      <w:bookmarkEnd w:id="51"/>
      <w:bookmarkEnd w:id="52"/>
      <w:bookmarkEnd w:id="53"/>
      <w:r>
        <w:rPr>
          <w:rFonts w:hint="eastAsia"/>
          <w:szCs w:val="21"/>
        </w:rPr>
        <w:t xml:space="preserve">  </w:t>
      </w:r>
      <w:bookmarkStart w:id="54" w:name="_Toc318581157"/>
    </w:p>
    <w:p w14:paraId="5AF41871">
      <w:pPr>
        <w:spacing w:line="360" w:lineRule="auto"/>
        <w:rPr>
          <w:szCs w:val="21"/>
        </w:rPr>
      </w:pPr>
      <w:r>
        <w:rPr>
          <w:rFonts w:hint="eastAsia"/>
          <w:szCs w:val="21"/>
        </w:rPr>
        <w:t>1.10.4超大件和超重件的运输</w:t>
      </w:r>
    </w:p>
    <w:p w14:paraId="01F8A7F7">
      <w:pPr>
        <w:spacing w:line="360" w:lineRule="auto"/>
        <w:rPr>
          <w:szCs w:val="21"/>
        </w:rPr>
      </w:pPr>
      <w:r>
        <w:rPr>
          <w:rFonts w:hint="eastAsia"/>
          <w:szCs w:val="21"/>
        </w:rPr>
        <w:t>运输超大件或超重件所需的道路和桥梁临时加固改造费用和其他有关费用由</w:t>
      </w:r>
      <w:r>
        <w:rPr>
          <w:rFonts w:hint="eastAsia"/>
          <w:szCs w:val="21"/>
          <w:u w:val="single"/>
        </w:rPr>
        <w:t xml:space="preserve">              </w:t>
      </w:r>
      <w:r>
        <w:rPr>
          <w:rFonts w:hint="eastAsia"/>
          <w:szCs w:val="21"/>
        </w:rPr>
        <w:t>承担。</w:t>
      </w:r>
      <w:bookmarkEnd w:id="54"/>
    </w:p>
    <w:p w14:paraId="7010CE21">
      <w:pPr>
        <w:spacing w:line="360" w:lineRule="auto"/>
        <w:rPr>
          <w:color w:val="000000"/>
          <w:szCs w:val="21"/>
        </w:rPr>
      </w:pPr>
      <w:r>
        <w:rPr>
          <w:rFonts w:hint="eastAsia"/>
          <w:color w:val="000000"/>
          <w:szCs w:val="21"/>
        </w:rPr>
        <w:t>1.11 知识产权</w:t>
      </w:r>
    </w:p>
    <w:p w14:paraId="0759AC8D">
      <w:pPr>
        <w:spacing w:line="360" w:lineRule="auto"/>
        <w:rPr>
          <w:color w:val="000000"/>
          <w:szCs w:val="21"/>
        </w:rPr>
      </w:pPr>
      <w:r>
        <w:rPr>
          <w:rFonts w:hint="eastAsia"/>
          <w:color w:val="000000"/>
          <w:szCs w:val="21"/>
        </w:rPr>
        <w:t>1.11.1关于发包人提供给承包人的图纸、发包人为实施工程自行编制或委托编制的技术规范以及反映发包人关于合同要求或其他类似性质的文件的著作权的归属：</w:t>
      </w:r>
      <w:r>
        <w:rPr>
          <w:rFonts w:hint="eastAsia"/>
          <w:color w:val="000000"/>
          <w:szCs w:val="21"/>
          <w:u w:val="single"/>
        </w:rPr>
        <w:t xml:space="preserve">                </w:t>
      </w:r>
      <w:r>
        <w:rPr>
          <w:rFonts w:hint="eastAsia"/>
          <w:color w:val="000000"/>
          <w:szCs w:val="21"/>
        </w:rPr>
        <w:t>。</w:t>
      </w:r>
    </w:p>
    <w:p w14:paraId="1C540D52">
      <w:pPr>
        <w:spacing w:line="360" w:lineRule="auto"/>
        <w:rPr>
          <w:color w:val="000000"/>
          <w:szCs w:val="21"/>
        </w:rPr>
      </w:pPr>
      <w:r>
        <w:rPr>
          <w:rFonts w:hint="eastAsia"/>
          <w:color w:val="000000"/>
          <w:szCs w:val="21"/>
        </w:rPr>
        <w:t>关于发包人提供的上述文件的使用限制的要求：</w:t>
      </w:r>
      <w:r>
        <w:rPr>
          <w:rFonts w:hint="eastAsia"/>
          <w:color w:val="000000"/>
          <w:szCs w:val="21"/>
          <w:u w:val="single"/>
        </w:rPr>
        <w:t xml:space="preserve">                            </w:t>
      </w:r>
      <w:r>
        <w:rPr>
          <w:rFonts w:hint="eastAsia"/>
          <w:color w:val="000000"/>
          <w:szCs w:val="21"/>
        </w:rPr>
        <w:t>。</w:t>
      </w:r>
    </w:p>
    <w:p w14:paraId="03CDA478">
      <w:pPr>
        <w:spacing w:line="360" w:lineRule="auto"/>
        <w:rPr>
          <w:color w:val="000000"/>
          <w:szCs w:val="21"/>
        </w:rPr>
      </w:pPr>
      <w:r>
        <w:rPr>
          <w:rFonts w:hint="eastAsia"/>
          <w:color w:val="000000"/>
          <w:szCs w:val="21"/>
        </w:rPr>
        <w:t>1.11.2 关于承包人为实施工程所编制文件的著作权的归属：</w:t>
      </w:r>
      <w:r>
        <w:rPr>
          <w:rFonts w:hint="eastAsia"/>
          <w:color w:val="000000"/>
          <w:szCs w:val="21"/>
          <w:u w:val="single"/>
        </w:rPr>
        <w:t xml:space="preserve">              </w:t>
      </w:r>
      <w:r>
        <w:rPr>
          <w:rFonts w:hint="eastAsia"/>
          <w:color w:val="000000"/>
          <w:szCs w:val="21"/>
        </w:rPr>
        <w:t>。</w:t>
      </w:r>
    </w:p>
    <w:p w14:paraId="5B0C8D60">
      <w:pPr>
        <w:spacing w:line="360" w:lineRule="auto"/>
        <w:rPr>
          <w:color w:val="000000"/>
          <w:szCs w:val="21"/>
        </w:rPr>
      </w:pPr>
      <w:r>
        <w:rPr>
          <w:rFonts w:hint="eastAsia"/>
          <w:color w:val="000000"/>
          <w:szCs w:val="21"/>
        </w:rPr>
        <w:t>关于承包人提供的上述文件的使用限制的要求：</w:t>
      </w:r>
      <w:r>
        <w:rPr>
          <w:rFonts w:hint="eastAsia"/>
          <w:color w:val="000000"/>
          <w:szCs w:val="21"/>
          <w:u w:val="single"/>
        </w:rPr>
        <w:t xml:space="preserve">                  </w:t>
      </w:r>
      <w:r>
        <w:rPr>
          <w:rFonts w:hint="eastAsia"/>
          <w:color w:val="000000"/>
          <w:szCs w:val="21"/>
        </w:rPr>
        <w:t>。</w:t>
      </w:r>
    </w:p>
    <w:p w14:paraId="1373BB2C">
      <w:pPr>
        <w:spacing w:line="360" w:lineRule="auto"/>
        <w:rPr>
          <w:color w:val="000000"/>
          <w:szCs w:val="21"/>
        </w:rPr>
      </w:pPr>
      <w:r>
        <w:rPr>
          <w:rFonts w:hint="eastAsia"/>
          <w:color w:val="000000"/>
          <w:szCs w:val="21"/>
        </w:rPr>
        <w:t>1.11.4 承包人在施工过程中所采用的专利、专有技术、技术秘密的使用费的承担方式：</w:t>
      </w:r>
      <w:r>
        <w:rPr>
          <w:rFonts w:hint="eastAsia"/>
          <w:color w:val="000000"/>
          <w:szCs w:val="21"/>
          <w:u w:val="single"/>
        </w:rPr>
        <w:t xml:space="preserve">                                                                  </w:t>
      </w:r>
      <w:r>
        <w:rPr>
          <w:rFonts w:hint="eastAsia"/>
          <w:color w:val="000000"/>
          <w:szCs w:val="21"/>
        </w:rPr>
        <w:t>。</w:t>
      </w:r>
    </w:p>
    <w:p w14:paraId="60C5BD79">
      <w:pPr>
        <w:spacing w:line="360" w:lineRule="auto"/>
        <w:rPr>
          <w:color w:val="000000"/>
          <w:szCs w:val="21"/>
        </w:rPr>
      </w:pPr>
      <w:r>
        <w:rPr>
          <w:rFonts w:hint="eastAsia"/>
          <w:color w:val="000000"/>
          <w:szCs w:val="21"/>
        </w:rPr>
        <w:t>1.13工程量清单错误的修正</w:t>
      </w:r>
    </w:p>
    <w:p w14:paraId="21628E94">
      <w:pPr>
        <w:spacing w:line="360" w:lineRule="auto"/>
        <w:rPr>
          <w:color w:val="000000"/>
          <w:szCs w:val="21"/>
        </w:rPr>
      </w:pPr>
      <w:r>
        <w:rPr>
          <w:rFonts w:hint="eastAsia"/>
          <w:color w:val="000000"/>
          <w:szCs w:val="21"/>
        </w:rPr>
        <w:t>出现工程量清单错误时，是否调整合同价格：</w:t>
      </w:r>
      <w:r>
        <w:rPr>
          <w:rFonts w:hint="eastAsia"/>
          <w:color w:val="000000"/>
          <w:szCs w:val="21"/>
          <w:u w:val="single"/>
        </w:rPr>
        <w:t xml:space="preserve">                  </w:t>
      </w:r>
      <w:r>
        <w:rPr>
          <w:rFonts w:hint="eastAsia"/>
          <w:color w:val="000000"/>
          <w:szCs w:val="21"/>
        </w:rPr>
        <w:t>。</w:t>
      </w:r>
    </w:p>
    <w:p w14:paraId="371082DF">
      <w:pPr>
        <w:spacing w:line="360" w:lineRule="auto"/>
        <w:rPr>
          <w:color w:val="000000"/>
          <w:szCs w:val="21"/>
        </w:rPr>
      </w:pPr>
      <w:r>
        <w:rPr>
          <w:rFonts w:hint="eastAsia"/>
          <w:color w:val="000000"/>
          <w:szCs w:val="21"/>
        </w:rPr>
        <w:t>允许调整合同价格的工程量偏差范围：</w:t>
      </w:r>
      <w:r>
        <w:rPr>
          <w:rFonts w:hint="eastAsia"/>
          <w:color w:val="000000"/>
          <w:szCs w:val="21"/>
          <w:u w:val="single"/>
        </w:rPr>
        <w:t xml:space="preserve">                                 </w:t>
      </w:r>
      <w:r>
        <w:rPr>
          <w:rFonts w:hint="eastAsia"/>
          <w:color w:val="000000"/>
          <w:szCs w:val="21"/>
        </w:rPr>
        <w:t>。</w:t>
      </w:r>
    </w:p>
    <w:p w14:paraId="4CC7311F">
      <w:pPr>
        <w:adjustRightInd w:val="0"/>
        <w:spacing w:line="360" w:lineRule="auto"/>
        <w:rPr>
          <w:color w:val="000000"/>
          <w:szCs w:val="21"/>
        </w:rPr>
      </w:pPr>
      <w:bookmarkStart w:id="55" w:name="_Toc351203634"/>
      <w:r>
        <w:rPr>
          <w:rFonts w:hint="eastAsia"/>
          <w:color w:val="000000"/>
          <w:szCs w:val="21"/>
        </w:rPr>
        <w:t>2</w:t>
      </w:r>
      <w:bookmarkStart w:id="56" w:name="_Toc296944496"/>
      <w:bookmarkStart w:id="57" w:name="_Toc296346658"/>
      <w:bookmarkStart w:id="58" w:name="_Toc297120457"/>
      <w:bookmarkStart w:id="59" w:name="_Toc292559867"/>
      <w:bookmarkStart w:id="60" w:name="_Toc296891197"/>
      <w:bookmarkStart w:id="61" w:name="_Toc296347156"/>
      <w:bookmarkStart w:id="62" w:name="_Toc297048343"/>
      <w:bookmarkStart w:id="63" w:name="_Toc296890985"/>
      <w:bookmarkStart w:id="64" w:name="_Toc296503157"/>
      <w:bookmarkStart w:id="65" w:name="_Toc292559362"/>
      <w:r>
        <w:rPr>
          <w:rFonts w:hint="eastAsia"/>
          <w:color w:val="000000"/>
          <w:szCs w:val="21"/>
        </w:rPr>
        <w:t>. 发包人</w:t>
      </w:r>
      <w:bookmarkEnd w:id="55"/>
    </w:p>
    <w:bookmarkEnd w:id="56"/>
    <w:bookmarkEnd w:id="57"/>
    <w:bookmarkEnd w:id="58"/>
    <w:bookmarkEnd w:id="59"/>
    <w:bookmarkEnd w:id="60"/>
    <w:bookmarkEnd w:id="61"/>
    <w:bookmarkEnd w:id="62"/>
    <w:bookmarkEnd w:id="63"/>
    <w:bookmarkEnd w:id="64"/>
    <w:bookmarkEnd w:id="65"/>
    <w:p w14:paraId="40921A01">
      <w:pPr>
        <w:spacing w:line="360" w:lineRule="auto"/>
        <w:rPr>
          <w:color w:val="000000"/>
          <w:szCs w:val="21"/>
        </w:rPr>
      </w:pPr>
      <w:r>
        <w:rPr>
          <w:rFonts w:hint="eastAsia"/>
          <w:color w:val="000000"/>
          <w:szCs w:val="21"/>
        </w:rPr>
        <w:t>2.2 发包人代表</w:t>
      </w:r>
    </w:p>
    <w:p w14:paraId="59697720">
      <w:pPr>
        <w:spacing w:line="360" w:lineRule="auto"/>
        <w:rPr>
          <w:color w:val="000000"/>
          <w:szCs w:val="21"/>
        </w:rPr>
      </w:pPr>
      <w:r>
        <w:rPr>
          <w:rFonts w:hint="eastAsia"/>
          <w:color w:val="000000"/>
          <w:szCs w:val="21"/>
        </w:rPr>
        <w:t>发包人代表：</w:t>
      </w:r>
    </w:p>
    <w:p w14:paraId="41D8A344">
      <w:pPr>
        <w:spacing w:line="360" w:lineRule="auto"/>
        <w:rPr>
          <w:color w:val="000000"/>
          <w:szCs w:val="21"/>
        </w:rPr>
      </w:pPr>
      <w:r>
        <w:rPr>
          <w:rFonts w:hint="eastAsia"/>
          <w:color w:val="000000"/>
          <w:szCs w:val="21"/>
        </w:rPr>
        <w:t>姓    名：</w:t>
      </w:r>
      <w:r>
        <w:rPr>
          <w:rFonts w:hint="eastAsia"/>
          <w:color w:val="000000"/>
          <w:szCs w:val="21"/>
          <w:u w:val="single"/>
        </w:rPr>
        <w:t>     </w:t>
      </w:r>
      <w:r>
        <w:rPr>
          <w:rFonts w:hint="eastAsia"/>
          <w:color w:val="000000"/>
          <w:szCs w:val="21"/>
        </w:rPr>
        <w:t>；</w:t>
      </w:r>
    </w:p>
    <w:p w14:paraId="2495A4F2">
      <w:pPr>
        <w:spacing w:line="360" w:lineRule="auto"/>
        <w:rPr>
          <w:color w:val="000000"/>
          <w:szCs w:val="21"/>
        </w:rPr>
      </w:pPr>
      <w:r>
        <w:rPr>
          <w:rFonts w:hint="eastAsia"/>
          <w:color w:val="000000"/>
          <w:szCs w:val="21"/>
        </w:rPr>
        <w:t>身份证号：</w:t>
      </w:r>
      <w:r>
        <w:rPr>
          <w:rFonts w:hint="eastAsia"/>
          <w:color w:val="000000"/>
          <w:szCs w:val="21"/>
          <w:u w:val="single"/>
        </w:rPr>
        <w:t>      </w:t>
      </w:r>
      <w:r>
        <w:rPr>
          <w:rFonts w:hint="eastAsia"/>
          <w:color w:val="000000"/>
          <w:szCs w:val="21"/>
        </w:rPr>
        <w:t>；</w:t>
      </w:r>
    </w:p>
    <w:p w14:paraId="1D0AD304">
      <w:pPr>
        <w:spacing w:line="360" w:lineRule="auto"/>
        <w:rPr>
          <w:color w:val="000000"/>
          <w:szCs w:val="21"/>
        </w:rPr>
      </w:pPr>
      <w:r>
        <w:rPr>
          <w:rFonts w:hint="eastAsia"/>
          <w:color w:val="000000"/>
          <w:szCs w:val="21"/>
        </w:rPr>
        <w:t>职    务：</w:t>
      </w:r>
      <w:r>
        <w:rPr>
          <w:rFonts w:hint="eastAsia"/>
          <w:color w:val="000000"/>
          <w:szCs w:val="21"/>
          <w:u w:val="single"/>
        </w:rPr>
        <w:t>    </w:t>
      </w:r>
      <w:r>
        <w:rPr>
          <w:rFonts w:hint="eastAsia"/>
          <w:color w:val="000000"/>
          <w:szCs w:val="21"/>
        </w:rPr>
        <w:t>；</w:t>
      </w:r>
    </w:p>
    <w:p w14:paraId="05F84B62">
      <w:pPr>
        <w:spacing w:line="360" w:lineRule="auto"/>
        <w:rPr>
          <w:color w:val="000000"/>
          <w:szCs w:val="21"/>
        </w:rPr>
      </w:pPr>
      <w:r>
        <w:rPr>
          <w:rFonts w:hint="eastAsia"/>
          <w:color w:val="000000"/>
          <w:szCs w:val="21"/>
        </w:rPr>
        <w:t>联系电话：</w:t>
      </w:r>
      <w:r>
        <w:rPr>
          <w:rFonts w:hint="eastAsia"/>
          <w:color w:val="000000"/>
          <w:szCs w:val="21"/>
          <w:u w:val="single"/>
        </w:rPr>
        <w:t>     </w:t>
      </w:r>
      <w:r>
        <w:rPr>
          <w:rFonts w:hint="eastAsia"/>
          <w:color w:val="000000"/>
          <w:szCs w:val="21"/>
        </w:rPr>
        <w:t>；</w:t>
      </w:r>
    </w:p>
    <w:p w14:paraId="4FA975DD">
      <w:pPr>
        <w:spacing w:line="360" w:lineRule="auto"/>
        <w:rPr>
          <w:color w:val="000000"/>
          <w:szCs w:val="21"/>
        </w:rPr>
      </w:pPr>
      <w:r>
        <w:rPr>
          <w:rFonts w:hint="eastAsia"/>
          <w:color w:val="000000"/>
          <w:szCs w:val="21"/>
        </w:rPr>
        <w:t>电子信箱：</w:t>
      </w:r>
      <w:r>
        <w:rPr>
          <w:rFonts w:hint="eastAsia"/>
          <w:color w:val="000000"/>
          <w:szCs w:val="21"/>
          <w:u w:val="single"/>
        </w:rPr>
        <w:t>     </w:t>
      </w:r>
      <w:r>
        <w:rPr>
          <w:rFonts w:hint="eastAsia"/>
          <w:color w:val="000000"/>
          <w:szCs w:val="21"/>
        </w:rPr>
        <w:t>；</w:t>
      </w:r>
    </w:p>
    <w:p w14:paraId="559007F3">
      <w:pPr>
        <w:spacing w:line="360" w:lineRule="auto"/>
        <w:rPr>
          <w:color w:val="000000"/>
          <w:szCs w:val="21"/>
        </w:rPr>
      </w:pPr>
      <w:r>
        <w:rPr>
          <w:rFonts w:hint="eastAsia"/>
          <w:color w:val="000000"/>
          <w:szCs w:val="21"/>
        </w:rPr>
        <w:t>通信地址：</w:t>
      </w:r>
      <w:r>
        <w:rPr>
          <w:rFonts w:hint="eastAsia"/>
          <w:color w:val="000000"/>
          <w:szCs w:val="21"/>
          <w:u w:val="single"/>
        </w:rPr>
        <w:t>    </w:t>
      </w:r>
      <w:r>
        <w:rPr>
          <w:rFonts w:hint="eastAsia"/>
          <w:color w:val="000000"/>
          <w:szCs w:val="21"/>
        </w:rPr>
        <w:t>。</w:t>
      </w:r>
    </w:p>
    <w:p w14:paraId="14683BB3">
      <w:pPr>
        <w:spacing w:line="360" w:lineRule="auto"/>
        <w:rPr>
          <w:color w:val="000000"/>
          <w:szCs w:val="21"/>
        </w:rPr>
      </w:pPr>
      <w:r>
        <w:rPr>
          <w:rFonts w:hint="eastAsia"/>
          <w:color w:val="000000"/>
          <w:szCs w:val="21"/>
        </w:rPr>
        <w:t>发包人对发包人代表的授权范围如下：</w:t>
      </w:r>
      <w:r>
        <w:rPr>
          <w:rFonts w:hint="eastAsia"/>
          <w:color w:val="000000"/>
          <w:szCs w:val="21"/>
          <w:u w:val="single"/>
        </w:rPr>
        <w:t xml:space="preserve">                   </w:t>
      </w:r>
      <w:r>
        <w:rPr>
          <w:rFonts w:hint="eastAsia"/>
          <w:color w:val="000000"/>
          <w:szCs w:val="21"/>
        </w:rPr>
        <w:t>。</w:t>
      </w:r>
    </w:p>
    <w:p w14:paraId="79C61847">
      <w:pPr>
        <w:spacing w:line="360" w:lineRule="auto"/>
        <w:rPr>
          <w:color w:val="000000"/>
          <w:szCs w:val="21"/>
        </w:rPr>
      </w:pPr>
      <w:r>
        <w:rPr>
          <w:rFonts w:hint="eastAsia"/>
          <w:color w:val="000000"/>
          <w:szCs w:val="21"/>
        </w:rPr>
        <w:t>2.4 施工现场、施工条件和基础资料的提供</w:t>
      </w:r>
    </w:p>
    <w:p w14:paraId="32D2CB17">
      <w:pPr>
        <w:spacing w:line="360" w:lineRule="auto"/>
        <w:rPr>
          <w:color w:val="000000"/>
          <w:szCs w:val="21"/>
        </w:rPr>
      </w:pPr>
      <w:r>
        <w:rPr>
          <w:rFonts w:hint="eastAsia"/>
          <w:color w:val="000000"/>
          <w:szCs w:val="21"/>
        </w:rPr>
        <w:t>2.4.1 提供施工现场</w:t>
      </w:r>
    </w:p>
    <w:p w14:paraId="1B5467A5">
      <w:pPr>
        <w:spacing w:line="360" w:lineRule="auto"/>
        <w:rPr>
          <w:color w:val="000000"/>
          <w:szCs w:val="21"/>
        </w:rPr>
      </w:pPr>
      <w:r>
        <w:rPr>
          <w:rFonts w:hint="eastAsia"/>
          <w:color w:val="000000"/>
          <w:szCs w:val="21"/>
        </w:rPr>
        <w:t>关于发包人移交施工现场的期限要求：</w:t>
      </w:r>
      <w:r>
        <w:rPr>
          <w:rFonts w:hint="eastAsia"/>
          <w:color w:val="000000"/>
          <w:szCs w:val="21"/>
          <w:u w:val="single"/>
        </w:rPr>
        <w:t xml:space="preserve">                               </w:t>
      </w:r>
      <w:r>
        <w:rPr>
          <w:rFonts w:hint="eastAsia"/>
          <w:color w:val="000000"/>
          <w:szCs w:val="21"/>
        </w:rPr>
        <w:t>。</w:t>
      </w:r>
    </w:p>
    <w:p w14:paraId="5A9FB60C">
      <w:pPr>
        <w:spacing w:line="360" w:lineRule="auto"/>
        <w:rPr>
          <w:color w:val="000000"/>
          <w:szCs w:val="21"/>
        </w:rPr>
      </w:pPr>
      <w:r>
        <w:rPr>
          <w:rFonts w:hint="eastAsia"/>
          <w:color w:val="000000"/>
          <w:szCs w:val="21"/>
        </w:rPr>
        <w:t>2.4.2 提供施工条件</w:t>
      </w:r>
    </w:p>
    <w:p w14:paraId="236A6F9D">
      <w:pPr>
        <w:spacing w:line="360" w:lineRule="auto"/>
        <w:rPr>
          <w:color w:val="000000"/>
          <w:szCs w:val="21"/>
          <w:u w:val="single"/>
        </w:rPr>
      </w:pPr>
      <w:r>
        <w:rPr>
          <w:rFonts w:hint="eastAsia"/>
          <w:color w:val="000000"/>
          <w:szCs w:val="21"/>
        </w:rPr>
        <w:t>关于发包人应负责提供施工所需要的条件，包括：</w:t>
      </w:r>
      <w:r>
        <w:rPr>
          <w:rFonts w:hint="eastAsia"/>
          <w:color w:val="000000"/>
          <w:szCs w:val="21"/>
          <w:u w:val="single"/>
        </w:rPr>
        <w:t xml:space="preserve">                             </w:t>
      </w:r>
      <w:r>
        <w:rPr>
          <w:rFonts w:hint="eastAsia"/>
          <w:color w:val="000000"/>
          <w:szCs w:val="21"/>
        </w:rPr>
        <w:t>。</w:t>
      </w:r>
    </w:p>
    <w:p w14:paraId="1F8C715D">
      <w:pPr>
        <w:spacing w:line="360" w:lineRule="auto"/>
        <w:rPr>
          <w:color w:val="000000"/>
          <w:szCs w:val="21"/>
        </w:rPr>
      </w:pPr>
      <w:r>
        <w:rPr>
          <w:rFonts w:hint="eastAsia"/>
          <w:color w:val="000000"/>
          <w:szCs w:val="21"/>
        </w:rPr>
        <w:t>2.5 资金来源证明及支付担保</w:t>
      </w:r>
    </w:p>
    <w:p w14:paraId="4D1FAB60">
      <w:pPr>
        <w:spacing w:line="360" w:lineRule="auto"/>
        <w:rPr>
          <w:color w:val="000000"/>
          <w:szCs w:val="21"/>
        </w:rPr>
      </w:pPr>
      <w:r>
        <w:rPr>
          <w:rFonts w:hint="eastAsia"/>
          <w:color w:val="000000"/>
          <w:szCs w:val="21"/>
        </w:rPr>
        <w:t>发包人提供资金来源证明的期限要求：</w:t>
      </w:r>
      <w:r>
        <w:rPr>
          <w:rFonts w:hint="eastAsia"/>
          <w:color w:val="000000"/>
          <w:szCs w:val="21"/>
          <w:u w:val="single"/>
        </w:rPr>
        <w:t xml:space="preserve">               </w:t>
      </w:r>
      <w:r>
        <w:rPr>
          <w:rFonts w:hint="eastAsia"/>
          <w:color w:val="000000"/>
          <w:szCs w:val="21"/>
        </w:rPr>
        <w:t>。</w:t>
      </w:r>
    </w:p>
    <w:p w14:paraId="1D5D587E">
      <w:pPr>
        <w:spacing w:line="360" w:lineRule="auto"/>
        <w:rPr>
          <w:color w:val="000000"/>
          <w:szCs w:val="21"/>
        </w:rPr>
      </w:pPr>
      <w:r>
        <w:rPr>
          <w:rFonts w:hint="eastAsia"/>
          <w:color w:val="000000"/>
          <w:szCs w:val="21"/>
        </w:rPr>
        <w:t>发包人是否提供支付担保：</w:t>
      </w:r>
      <w:r>
        <w:rPr>
          <w:rFonts w:hint="eastAsia"/>
          <w:color w:val="000000"/>
          <w:szCs w:val="21"/>
          <w:u w:val="single"/>
        </w:rPr>
        <w:t xml:space="preserve">                     </w:t>
      </w:r>
      <w:r>
        <w:rPr>
          <w:rFonts w:hint="eastAsia"/>
          <w:color w:val="000000"/>
          <w:szCs w:val="21"/>
        </w:rPr>
        <w:t>。</w:t>
      </w:r>
    </w:p>
    <w:p w14:paraId="6BB64CC5">
      <w:pPr>
        <w:spacing w:line="360" w:lineRule="auto"/>
        <w:rPr>
          <w:color w:val="000000"/>
          <w:szCs w:val="21"/>
          <w:u w:val="single"/>
        </w:rPr>
      </w:pPr>
      <w:r>
        <w:rPr>
          <w:rFonts w:hint="eastAsia"/>
          <w:color w:val="000000"/>
          <w:szCs w:val="21"/>
        </w:rPr>
        <w:t>发包人提供支付担保的形式：</w:t>
      </w:r>
      <w:r>
        <w:rPr>
          <w:rFonts w:hint="eastAsia"/>
          <w:color w:val="000000"/>
          <w:szCs w:val="21"/>
          <w:u w:val="single"/>
        </w:rPr>
        <w:t>                     </w:t>
      </w:r>
      <w:r>
        <w:rPr>
          <w:rFonts w:hint="eastAsia"/>
          <w:color w:val="000000"/>
          <w:szCs w:val="21"/>
        </w:rPr>
        <w:t>。</w:t>
      </w:r>
    </w:p>
    <w:p w14:paraId="180418FF">
      <w:pPr>
        <w:adjustRightInd w:val="0"/>
        <w:spacing w:line="360" w:lineRule="auto"/>
        <w:rPr>
          <w:color w:val="000000"/>
          <w:szCs w:val="21"/>
        </w:rPr>
      </w:pPr>
      <w:bookmarkStart w:id="66" w:name="_Toc351203635"/>
      <w:r>
        <w:rPr>
          <w:rFonts w:hint="eastAsia"/>
          <w:color w:val="000000"/>
          <w:szCs w:val="21"/>
        </w:rPr>
        <w:t>3</w:t>
      </w:r>
      <w:bookmarkStart w:id="67" w:name="_Toc297048344"/>
      <w:bookmarkStart w:id="68" w:name="_Toc296346659"/>
      <w:bookmarkStart w:id="69" w:name="_Toc297120458"/>
      <w:bookmarkStart w:id="70" w:name="_Toc296503158"/>
      <w:bookmarkStart w:id="71" w:name="_Toc296890986"/>
      <w:bookmarkStart w:id="72" w:name="_Toc292559363"/>
      <w:bookmarkStart w:id="73" w:name="_Toc296347157"/>
      <w:bookmarkStart w:id="74" w:name="_Toc292559868"/>
      <w:bookmarkStart w:id="75" w:name="_Toc296891198"/>
      <w:bookmarkStart w:id="76" w:name="_Toc296944497"/>
      <w:r>
        <w:rPr>
          <w:rFonts w:hint="eastAsia"/>
          <w:color w:val="000000"/>
          <w:szCs w:val="21"/>
        </w:rPr>
        <w:t>. 承包人</w:t>
      </w:r>
      <w:bookmarkEnd w:id="66"/>
    </w:p>
    <w:bookmarkEnd w:id="67"/>
    <w:bookmarkEnd w:id="68"/>
    <w:bookmarkEnd w:id="69"/>
    <w:bookmarkEnd w:id="70"/>
    <w:bookmarkEnd w:id="71"/>
    <w:bookmarkEnd w:id="72"/>
    <w:bookmarkEnd w:id="73"/>
    <w:bookmarkEnd w:id="74"/>
    <w:bookmarkEnd w:id="75"/>
    <w:bookmarkEnd w:id="76"/>
    <w:p w14:paraId="7AAEE50F">
      <w:pPr>
        <w:spacing w:line="360" w:lineRule="auto"/>
        <w:rPr>
          <w:color w:val="000000"/>
          <w:szCs w:val="21"/>
        </w:rPr>
      </w:pPr>
      <w:r>
        <w:rPr>
          <w:rFonts w:hint="eastAsia"/>
          <w:color w:val="000000"/>
          <w:szCs w:val="21"/>
        </w:rPr>
        <w:t>3.1 承包人的一般义务</w:t>
      </w:r>
    </w:p>
    <w:p w14:paraId="02122C6B">
      <w:pPr>
        <w:spacing w:line="360" w:lineRule="auto"/>
        <w:rPr>
          <w:color w:val="000000"/>
          <w:szCs w:val="21"/>
        </w:rPr>
      </w:pPr>
      <w:r>
        <w:rPr>
          <w:rFonts w:hint="eastAsia"/>
          <w:color w:val="000000"/>
          <w:szCs w:val="21"/>
        </w:rPr>
        <w:t>（9）承包人提交的竣工资料的内容：</w:t>
      </w:r>
      <w:r>
        <w:rPr>
          <w:rFonts w:hint="eastAsia"/>
          <w:color w:val="000000"/>
          <w:szCs w:val="21"/>
          <w:u w:val="single"/>
        </w:rPr>
        <w:t xml:space="preserve">                                    </w:t>
      </w:r>
      <w:r>
        <w:rPr>
          <w:rFonts w:hint="eastAsia"/>
          <w:color w:val="000000"/>
          <w:szCs w:val="21"/>
        </w:rPr>
        <w:t>。</w:t>
      </w:r>
    </w:p>
    <w:p w14:paraId="7DC28E06">
      <w:pPr>
        <w:spacing w:line="360" w:lineRule="auto"/>
        <w:rPr>
          <w:color w:val="000000"/>
          <w:szCs w:val="21"/>
        </w:rPr>
      </w:pPr>
      <w:r>
        <w:rPr>
          <w:rFonts w:hint="eastAsia"/>
          <w:color w:val="000000"/>
          <w:szCs w:val="21"/>
        </w:rPr>
        <w:t xml:space="preserve">     承包人需要提交的竣工资料套数：</w:t>
      </w:r>
      <w:r>
        <w:rPr>
          <w:rFonts w:hint="eastAsia"/>
          <w:color w:val="000000"/>
          <w:szCs w:val="21"/>
          <w:u w:val="single"/>
        </w:rPr>
        <w:t xml:space="preserve">                       </w:t>
      </w:r>
      <w:r>
        <w:rPr>
          <w:rFonts w:hint="eastAsia"/>
          <w:color w:val="000000"/>
          <w:szCs w:val="21"/>
        </w:rPr>
        <w:t>。</w:t>
      </w:r>
    </w:p>
    <w:p w14:paraId="33D2C9F8">
      <w:pPr>
        <w:spacing w:line="360" w:lineRule="auto"/>
        <w:rPr>
          <w:color w:val="000000"/>
          <w:szCs w:val="21"/>
        </w:rPr>
      </w:pPr>
      <w:r>
        <w:rPr>
          <w:rFonts w:hint="eastAsia"/>
          <w:color w:val="000000"/>
          <w:szCs w:val="21"/>
        </w:rPr>
        <w:t xml:space="preserve">     承包人提交的竣工资料的费用承担：</w:t>
      </w:r>
      <w:r>
        <w:rPr>
          <w:rFonts w:hint="eastAsia"/>
          <w:color w:val="000000"/>
          <w:szCs w:val="21"/>
          <w:u w:val="single"/>
        </w:rPr>
        <w:t xml:space="preserve">                     </w:t>
      </w:r>
      <w:r>
        <w:rPr>
          <w:rFonts w:hint="eastAsia"/>
          <w:color w:val="000000"/>
          <w:szCs w:val="21"/>
        </w:rPr>
        <w:t>。</w:t>
      </w:r>
    </w:p>
    <w:p w14:paraId="5862E7DD">
      <w:pPr>
        <w:spacing w:line="360" w:lineRule="auto"/>
        <w:rPr>
          <w:color w:val="000000"/>
          <w:szCs w:val="21"/>
        </w:rPr>
      </w:pPr>
      <w:r>
        <w:rPr>
          <w:rFonts w:hint="eastAsia"/>
          <w:color w:val="000000"/>
          <w:szCs w:val="21"/>
        </w:rPr>
        <w:t xml:space="preserve">     承包人提交的竣工资料移交时间：</w:t>
      </w:r>
      <w:r>
        <w:rPr>
          <w:rFonts w:hint="eastAsia"/>
          <w:color w:val="000000"/>
          <w:szCs w:val="21"/>
          <w:u w:val="single"/>
        </w:rPr>
        <w:t xml:space="preserve">                       </w:t>
      </w:r>
      <w:r>
        <w:rPr>
          <w:rFonts w:hint="eastAsia"/>
          <w:color w:val="000000"/>
          <w:szCs w:val="21"/>
        </w:rPr>
        <w:t>。</w:t>
      </w:r>
    </w:p>
    <w:p w14:paraId="36BE3287">
      <w:pPr>
        <w:spacing w:line="360" w:lineRule="auto"/>
        <w:rPr>
          <w:color w:val="000000"/>
          <w:szCs w:val="21"/>
        </w:rPr>
      </w:pPr>
      <w:r>
        <w:rPr>
          <w:rFonts w:hint="eastAsia"/>
          <w:color w:val="000000"/>
          <w:szCs w:val="21"/>
        </w:rPr>
        <w:t xml:space="preserve">     承包人提交的竣工资料形式要求：</w:t>
      </w:r>
      <w:r>
        <w:rPr>
          <w:rFonts w:hint="eastAsia"/>
          <w:color w:val="000000"/>
          <w:szCs w:val="21"/>
          <w:u w:val="single"/>
        </w:rPr>
        <w:t xml:space="preserve">                       </w:t>
      </w:r>
      <w:r>
        <w:rPr>
          <w:rFonts w:hint="eastAsia"/>
          <w:color w:val="000000"/>
          <w:szCs w:val="21"/>
        </w:rPr>
        <w:t>。</w:t>
      </w:r>
    </w:p>
    <w:p w14:paraId="557B0BC4">
      <w:pPr>
        <w:spacing w:line="360" w:lineRule="auto"/>
        <w:rPr>
          <w:color w:val="000000"/>
          <w:szCs w:val="21"/>
        </w:rPr>
      </w:pPr>
      <w:r>
        <w:rPr>
          <w:rFonts w:hint="eastAsia"/>
          <w:color w:val="000000"/>
          <w:szCs w:val="21"/>
        </w:rPr>
        <w:t>（10）承包人应履行的其他义务：</w:t>
      </w:r>
      <w:r>
        <w:rPr>
          <w:rFonts w:hint="eastAsia"/>
          <w:color w:val="000000"/>
          <w:szCs w:val="21"/>
          <w:u w:val="single"/>
        </w:rPr>
        <w:t xml:space="preserve">                                     </w:t>
      </w:r>
      <w:r>
        <w:rPr>
          <w:rFonts w:hint="eastAsia"/>
          <w:color w:val="000000"/>
          <w:szCs w:val="21"/>
        </w:rPr>
        <w:t>。</w:t>
      </w:r>
    </w:p>
    <w:p w14:paraId="43ED9165">
      <w:pPr>
        <w:spacing w:line="360" w:lineRule="auto"/>
        <w:rPr>
          <w:color w:val="000000"/>
          <w:szCs w:val="21"/>
        </w:rPr>
      </w:pPr>
      <w:r>
        <w:rPr>
          <w:rFonts w:hint="eastAsia"/>
          <w:color w:val="000000"/>
          <w:szCs w:val="21"/>
        </w:rPr>
        <w:t>3.2 项目经理</w:t>
      </w:r>
    </w:p>
    <w:p w14:paraId="573FA6A9">
      <w:pPr>
        <w:spacing w:line="360" w:lineRule="auto"/>
        <w:rPr>
          <w:color w:val="000000"/>
          <w:szCs w:val="21"/>
        </w:rPr>
      </w:pPr>
      <w:r>
        <w:rPr>
          <w:rFonts w:hint="eastAsia"/>
          <w:color w:val="000000"/>
          <w:szCs w:val="21"/>
        </w:rPr>
        <w:t>3.2.1 项目经理：</w:t>
      </w:r>
    </w:p>
    <w:p w14:paraId="6759689B">
      <w:pPr>
        <w:spacing w:line="360" w:lineRule="auto"/>
        <w:rPr>
          <w:color w:val="000000"/>
          <w:szCs w:val="21"/>
        </w:rPr>
      </w:pPr>
      <w:r>
        <w:rPr>
          <w:rFonts w:hint="eastAsia"/>
          <w:color w:val="000000"/>
          <w:szCs w:val="21"/>
        </w:rPr>
        <w:t>姓    名：</w:t>
      </w:r>
      <w:r>
        <w:rPr>
          <w:rFonts w:hint="eastAsia"/>
          <w:color w:val="000000"/>
          <w:szCs w:val="21"/>
          <w:u w:val="single"/>
        </w:rPr>
        <w:t>         </w:t>
      </w:r>
      <w:r>
        <w:rPr>
          <w:rFonts w:hint="eastAsia"/>
          <w:color w:val="000000"/>
          <w:szCs w:val="21"/>
        </w:rPr>
        <w:t>；</w:t>
      </w:r>
    </w:p>
    <w:p w14:paraId="5CC90AA0">
      <w:pPr>
        <w:spacing w:line="360" w:lineRule="auto"/>
        <w:rPr>
          <w:color w:val="000000"/>
          <w:szCs w:val="21"/>
        </w:rPr>
      </w:pPr>
      <w:r>
        <w:rPr>
          <w:rFonts w:hint="eastAsia"/>
          <w:color w:val="000000"/>
          <w:szCs w:val="21"/>
        </w:rPr>
        <w:t>身份证号：</w:t>
      </w:r>
      <w:r>
        <w:rPr>
          <w:rFonts w:hint="eastAsia"/>
          <w:color w:val="000000"/>
          <w:szCs w:val="21"/>
          <w:u w:val="single"/>
        </w:rPr>
        <w:t>         </w:t>
      </w:r>
      <w:r>
        <w:rPr>
          <w:rFonts w:hint="eastAsia"/>
          <w:color w:val="000000"/>
          <w:szCs w:val="21"/>
        </w:rPr>
        <w:t>；</w:t>
      </w:r>
    </w:p>
    <w:p w14:paraId="2A1575B0">
      <w:pPr>
        <w:spacing w:line="360" w:lineRule="auto"/>
        <w:rPr>
          <w:color w:val="000000"/>
          <w:szCs w:val="21"/>
        </w:rPr>
      </w:pPr>
      <w:r>
        <w:rPr>
          <w:rFonts w:hint="eastAsia"/>
          <w:color w:val="000000"/>
          <w:szCs w:val="21"/>
        </w:rPr>
        <w:t>建造师执业资格等级：</w:t>
      </w:r>
      <w:r>
        <w:rPr>
          <w:rFonts w:hint="eastAsia"/>
          <w:color w:val="000000"/>
          <w:szCs w:val="21"/>
          <w:u w:val="single"/>
        </w:rPr>
        <w:t>   </w:t>
      </w:r>
      <w:r>
        <w:rPr>
          <w:rFonts w:hint="eastAsia"/>
          <w:color w:val="000000"/>
          <w:szCs w:val="21"/>
        </w:rPr>
        <w:t>；</w:t>
      </w:r>
    </w:p>
    <w:p w14:paraId="022CA366">
      <w:pPr>
        <w:spacing w:line="360" w:lineRule="auto"/>
        <w:rPr>
          <w:color w:val="000000"/>
          <w:szCs w:val="21"/>
        </w:rPr>
      </w:pPr>
      <w:r>
        <w:rPr>
          <w:rFonts w:hint="eastAsia"/>
          <w:color w:val="000000"/>
          <w:szCs w:val="21"/>
        </w:rPr>
        <w:t>建造师注册证书号：</w:t>
      </w:r>
      <w:r>
        <w:rPr>
          <w:rFonts w:hint="eastAsia"/>
          <w:color w:val="000000"/>
          <w:szCs w:val="21"/>
          <w:u w:val="single"/>
        </w:rPr>
        <w:t> </w:t>
      </w:r>
      <w:r>
        <w:rPr>
          <w:rFonts w:hint="eastAsia"/>
          <w:color w:val="000000"/>
          <w:szCs w:val="21"/>
        </w:rPr>
        <w:t>；</w:t>
      </w:r>
    </w:p>
    <w:p w14:paraId="27A60A12">
      <w:pPr>
        <w:spacing w:line="360" w:lineRule="auto"/>
        <w:rPr>
          <w:color w:val="000000"/>
          <w:szCs w:val="21"/>
        </w:rPr>
      </w:pPr>
      <w:r>
        <w:rPr>
          <w:rFonts w:hint="eastAsia"/>
          <w:color w:val="000000"/>
          <w:szCs w:val="21"/>
        </w:rPr>
        <w:t>建造师执业印章号：</w:t>
      </w:r>
      <w:r>
        <w:rPr>
          <w:rFonts w:hint="eastAsia"/>
          <w:color w:val="000000"/>
          <w:szCs w:val="21"/>
          <w:u w:val="single"/>
        </w:rPr>
        <w:t> </w:t>
      </w:r>
      <w:r>
        <w:rPr>
          <w:rFonts w:hint="eastAsia"/>
          <w:color w:val="000000"/>
          <w:szCs w:val="21"/>
        </w:rPr>
        <w:t>；</w:t>
      </w:r>
    </w:p>
    <w:p w14:paraId="7F1D6727">
      <w:pPr>
        <w:spacing w:line="360" w:lineRule="auto"/>
        <w:rPr>
          <w:color w:val="000000"/>
          <w:szCs w:val="21"/>
        </w:rPr>
      </w:pPr>
      <w:r>
        <w:rPr>
          <w:rFonts w:hint="eastAsia"/>
          <w:color w:val="000000"/>
          <w:szCs w:val="21"/>
        </w:rPr>
        <w:t>安全生产考核合格证书号：</w:t>
      </w:r>
      <w:r>
        <w:rPr>
          <w:rFonts w:hint="eastAsia"/>
          <w:color w:val="000000"/>
          <w:szCs w:val="21"/>
          <w:u w:val="single"/>
        </w:rPr>
        <w:t> </w:t>
      </w:r>
      <w:r>
        <w:rPr>
          <w:rFonts w:hint="eastAsia"/>
          <w:color w:val="000000"/>
          <w:szCs w:val="21"/>
        </w:rPr>
        <w:t>；</w:t>
      </w:r>
    </w:p>
    <w:p w14:paraId="034BA515">
      <w:pPr>
        <w:spacing w:line="360" w:lineRule="auto"/>
        <w:rPr>
          <w:color w:val="000000"/>
          <w:szCs w:val="21"/>
        </w:rPr>
      </w:pPr>
      <w:r>
        <w:rPr>
          <w:rFonts w:hint="eastAsia"/>
          <w:color w:val="000000"/>
          <w:szCs w:val="21"/>
        </w:rPr>
        <w:t>联系电话：</w:t>
      </w:r>
      <w:r>
        <w:rPr>
          <w:rFonts w:hint="eastAsia"/>
          <w:color w:val="000000"/>
          <w:szCs w:val="21"/>
          <w:u w:val="single"/>
        </w:rPr>
        <w:t>         </w:t>
      </w:r>
      <w:r>
        <w:rPr>
          <w:rFonts w:hint="eastAsia"/>
          <w:color w:val="000000"/>
          <w:szCs w:val="21"/>
        </w:rPr>
        <w:t>；</w:t>
      </w:r>
    </w:p>
    <w:p w14:paraId="6C366434">
      <w:pPr>
        <w:spacing w:line="360" w:lineRule="auto"/>
        <w:rPr>
          <w:color w:val="000000"/>
          <w:szCs w:val="21"/>
        </w:rPr>
      </w:pPr>
      <w:r>
        <w:rPr>
          <w:rFonts w:hint="eastAsia"/>
          <w:color w:val="000000"/>
          <w:szCs w:val="21"/>
        </w:rPr>
        <w:t>电子信箱：</w:t>
      </w:r>
      <w:r>
        <w:rPr>
          <w:rFonts w:hint="eastAsia"/>
          <w:color w:val="000000"/>
          <w:szCs w:val="21"/>
          <w:u w:val="single"/>
        </w:rPr>
        <w:t>         </w:t>
      </w:r>
      <w:r>
        <w:rPr>
          <w:rFonts w:hint="eastAsia"/>
          <w:color w:val="000000"/>
          <w:szCs w:val="21"/>
        </w:rPr>
        <w:t>；</w:t>
      </w:r>
    </w:p>
    <w:p w14:paraId="678221A5">
      <w:pPr>
        <w:spacing w:line="360" w:lineRule="auto"/>
        <w:rPr>
          <w:color w:val="000000"/>
          <w:szCs w:val="21"/>
        </w:rPr>
      </w:pPr>
      <w:r>
        <w:rPr>
          <w:rFonts w:hint="eastAsia"/>
          <w:color w:val="000000"/>
          <w:szCs w:val="21"/>
        </w:rPr>
        <w:t>通信地址：</w:t>
      </w:r>
      <w:r>
        <w:rPr>
          <w:rFonts w:hint="eastAsia"/>
          <w:color w:val="000000"/>
          <w:szCs w:val="21"/>
          <w:u w:val="single"/>
        </w:rPr>
        <w:t>         </w:t>
      </w:r>
      <w:r>
        <w:rPr>
          <w:rFonts w:hint="eastAsia"/>
          <w:color w:val="000000"/>
          <w:szCs w:val="21"/>
        </w:rPr>
        <w:t>；</w:t>
      </w:r>
    </w:p>
    <w:p w14:paraId="7E21C986">
      <w:pPr>
        <w:spacing w:line="360" w:lineRule="auto"/>
        <w:rPr>
          <w:color w:val="000000"/>
          <w:szCs w:val="21"/>
        </w:rPr>
      </w:pPr>
      <w:r>
        <w:rPr>
          <w:rFonts w:hint="eastAsia"/>
          <w:color w:val="000000"/>
          <w:szCs w:val="21"/>
        </w:rPr>
        <w:t>承包人对项目经理的授权范围如下：</w:t>
      </w:r>
      <w:r>
        <w:rPr>
          <w:rFonts w:hint="eastAsia"/>
          <w:color w:val="000000"/>
          <w:szCs w:val="21"/>
          <w:u w:val="single"/>
        </w:rPr>
        <w:t xml:space="preserve">                              </w:t>
      </w:r>
      <w:r>
        <w:rPr>
          <w:rFonts w:hint="eastAsia"/>
          <w:color w:val="000000"/>
          <w:szCs w:val="21"/>
        </w:rPr>
        <w:t>。</w:t>
      </w:r>
    </w:p>
    <w:p w14:paraId="5C0AA016">
      <w:pPr>
        <w:spacing w:line="360" w:lineRule="auto"/>
        <w:rPr>
          <w:color w:val="000000"/>
          <w:szCs w:val="21"/>
        </w:rPr>
      </w:pPr>
      <w:r>
        <w:rPr>
          <w:rFonts w:hint="eastAsia"/>
          <w:color w:val="000000"/>
          <w:szCs w:val="21"/>
        </w:rPr>
        <w:t>关于项目经理每月在施工现场的时间要求：</w:t>
      </w:r>
      <w:r>
        <w:rPr>
          <w:rFonts w:hint="eastAsia"/>
          <w:color w:val="000000"/>
          <w:szCs w:val="21"/>
          <w:u w:val="single"/>
        </w:rPr>
        <w:t xml:space="preserve">                                     </w:t>
      </w:r>
      <w:r>
        <w:rPr>
          <w:rFonts w:hint="eastAsia"/>
          <w:color w:val="000000"/>
          <w:szCs w:val="21"/>
        </w:rPr>
        <w:t>。</w:t>
      </w:r>
    </w:p>
    <w:p w14:paraId="28CF2ECE">
      <w:pPr>
        <w:spacing w:line="360" w:lineRule="auto"/>
        <w:rPr>
          <w:color w:val="000000"/>
          <w:szCs w:val="21"/>
        </w:rPr>
      </w:pPr>
      <w:r>
        <w:rPr>
          <w:rFonts w:hint="eastAsia"/>
          <w:color w:val="000000"/>
          <w:szCs w:val="21"/>
        </w:rPr>
        <w:t>承包人未提交劳动合同，以及没有为项目经理缴纳社会保险证明的违约责任：</w:t>
      </w:r>
      <w:r>
        <w:rPr>
          <w:rFonts w:hint="eastAsia"/>
          <w:color w:val="000000"/>
          <w:szCs w:val="21"/>
          <w:u w:val="single"/>
        </w:rPr>
        <w:t xml:space="preserve">                                                                       </w:t>
      </w:r>
      <w:r>
        <w:rPr>
          <w:rFonts w:hint="eastAsia"/>
          <w:color w:val="000000"/>
          <w:szCs w:val="21"/>
        </w:rPr>
        <w:t>。</w:t>
      </w:r>
    </w:p>
    <w:p w14:paraId="15228644">
      <w:pPr>
        <w:spacing w:line="360" w:lineRule="auto"/>
        <w:rPr>
          <w:color w:val="000000"/>
          <w:szCs w:val="21"/>
          <w:u w:val="single"/>
        </w:rPr>
      </w:pPr>
      <w:r>
        <w:rPr>
          <w:rFonts w:hint="eastAsia"/>
          <w:color w:val="000000"/>
          <w:szCs w:val="21"/>
        </w:rPr>
        <w:t>项目经理未经批准，擅自离开施工现场的违约责任：</w:t>
      </w:r>
      <w:r>
        <w:rPr>
          <w:rFonts w:hint="eastAsia"/>
          <w:color w:val="000000"/>
          <w:szCs w:val="21"/>
          <w:u w:val="single"/>
        </w:rPr>
        <w:t xml:space="preserve">                               </w:t>
      </w:r>
      <w:r>
        <w:rPr>
          <w:rFonts w:hint="eastAsia"/>
          <w:color w:val="000000"/>
          <w:szCs w:val="21"/>
        </w:rPr>
        <w:t>。</w:t>
      </w:r>
    </w:p>
    <w:p w14:paraId="4BCFF184">
      <w:pPr>
        <w:spacing w:line="360" w:lineRule="auto"/>
        <w:rPr>
          <w:color w:val="000000"/>
          <w:szCs w:val="21"/>
        </w:rPr>
      </w:pPr>
      <w:r>
        <w:rPr>
          <w:rFonts w:hint="eastAsia"/>
          <w:color w:val="000000"/>
          <w:szCs w:val="21"/>
        </w:rPr>
        <w:t>3.2.3 承包人擅自更换项目经理的违约责任：</w:t>
      </w:r>
      <w:r>
        <w:rPr>
          <w:rFonts w:hint="eastAsia"/>
          <w:color w:val="000000"/>
          <w:szCs w:val="21"/>
          <w:u w:val="single"/>
        </w:rPr>
        <w:t xml:space="preserve">                                   </w:t>
      </w:r>
      <w:r>
        <w:rPr>
          <w:rFonts w:hint="eastAsia"/>
          <w:color w:val="000000"/>
          <w:szCs w:val="21"/>
        </w:rPr>
        <w:t>。</w:t>
      </w:r>
    </w:p>
    <w:p w14:paraId="6814645C">
      <w:pPr>
        <w:spacing w:line="360" w:lineRule="auto"/>
        <w:rPr>
          <w:color w:val="000000"/>
          <w:szCs w:val="21"/>
        </w:rPr>
      </w:pPr>
      <w:r>
        <w:rPr>
          <w:rFonts w:hint="eastAsia"/>
          <w:color w:val="000000"/>
          <w:szCs w:val="21"/>
        </w:rPr>
        <w:t>3.2.4 承包人无正当理由拒绝更换项目经理的违约责任：</w:t>
      </w:r>
      <w:r>
        <w:rPr>
          <w:rFonts w:hint="eastAsia"/>
          <w:color w:val="000000"/>
          <w:szCs w:val="21"/>
          <w:u w:val="single"/>
        </w:rPr>
        <w:t xml:space="preserve">                         </w:t>
      </w:r>
      <w:r>
        <w:rPr>
          <w:rFonts w:hint="eastAsia"/>
          <w:color w:val="000000"/>
          <w:szCs w:val="21"/>
        </w:rPr>
        <w:t>。</w:t>
      </w:r>
    </w:p>
    <w:p w14:paraId="2C1A73B2">
      <w:pPr>
        <w:spacing w:line="360" w:lineRule="auto"/>
        <w:rPr>
          <w:color w:val="000000"/>
          <w:szCs w:val="21"/>
        </w:rPr>
      </w:pPr>
      <w:r>
        <w:rPr>
          <w:rFonts w:hint="eastAsia"/>
          <w:color w:val="000000"/>
          <w:szCs w:val="21"/>
        </w:rPr>
        <w:t>3.3 承包人人员</w:t>
      </w:r>
    </w:p>
    <w:p w14:paraId="538C4642">
      <w:pPr>
        <w:spacing w:line="360" w:lineRule="auto"/>
        <w:rPr>
          <w:color w:val="000000"/>
          <w:szCs w:val="21"/>
        </w:rPr>
      </w:pPr>
      <w:r>
        <w:rPr>
          <w:rFonts w:hint="eastAsia"/>
          <w:color w:val="000000"/>
          <w:szCs w:val="21"/>
        </w:rPr>
        <w:t>3.3.1 承包人提交项目管理机构及施工现场管理人员安排报告的期限：</w:t>
      </w:r>
      <w:r>
        <w:rPr>
          <w:rFonts w:hint="eastAsia"/>
          <w:color w:val="000000"/>
          <w:szCs w:val="21"/>
          <w:u w:val="single"/>
        </w:rPr>
        <w:t xml:space="preserve">             </w:t>
      </w:r>
      <w:r>
        <w:rPr>
          <w:rFonts w:hint="eastAsia"/>
          <w:color w:val="000000"/>
          <w:szCs w:val="21"/>
        </w:rPr>
        <w:t>。</w:t>
      </w:r>
    </w:p>
    <w:p w14:paraId="2A9A1ADB">
      <w:pPr>
        <w:spacing w:line="360" w:lineRule="auto"/>
        <w:rPr>
          <w:color w:val="000000"/>
          <w:szCs w:val="21"/>
        </w:rPr>
      </w:pPr>
      <w:r>
        <w:rPr>
          <w:rFonts w:hint="eastAsia"/>
          <w:color w:val="000000"/>
          <w:szCs w:val="21"/>
        </w:rPr>
        <w:t>3.3.3 承包人无正当理由拒绝撤换主要施工管理人员的违约责任：</w:t>
      </w:r>
      <w:r>
        <w:rPr>
          <w:rFonts w:hint="eastAsia"/>
          <w:color w:val="000000"/>
          <w:szCs w:val="21"/>
          <w:u w:val="single"/>
        </w:rPr>
        <w:t xml:space="preserve">               </w:t>
      </w:r>
      <w:r>
        <w:rPr>
          <w:rFonts w:hint="eastAsia"/>
          <w:color w:val="000000"/>
          <w:szCs w:val="21"/>
        </w:rPr>
        <w:t>。</w:t>
      </w:r>
    </w:p>
    <w:p w14:paraId="2F63FEAA">
      <w:pPr>
        <w:spacing w:line="360" w:lineRule="auto"/>
        <w:rPr>
          <w:color w:val="000000"/>
          <w:szCs w:val="21"/>
          <w:u w:val="single"/>
        </w:rPr>
      </w:pPr>
      <w:r>
        <w:rPr>
          <w:rFonts w:hint="eastAsia"/>
          <w:color w:val="000000"/>
          <w:szCs w:val="21"/>
        </w:rPr>
        <w:t xml:space="preserve">3.3.4 承包人主要施工管理人员离开施工现场的批准要求：   </w:t>
      </w:r>
      <w:r>
        <w:rPr>
          <w:rFonts w:hint="eastAsia"/>
          <w:color w:val="000000"/>
          <w:szCs w:val="21"/>
          <w:u w:val="single"/>
        </w:rPr>
        <w:t xml:space="preserve">                         </w:t>
      </w:r>
      <w:r>
        <w:rPr>
          <w:rFonts w:hint="eastAsia"/>
          <w:color w:val="000000"/>
          <w:szCs w:val="21"/>
        </w:rPr>
        <w:t>。</w:t>
      </w:r>
    </w:p>
    <w:p w14:paraId="73B3B71A">
      <w:pPr>
        <w:spacing w:line="360" w:lineRule="auto"/>
        <w:rPr>
          <w:color w:val="000000"/>
          <w:szCs w:val="21"/>
        </w:rPr>
      </w:pPr>
      <w:r>
        <w:rPr>
          <w:rFonts w:hint="eastAsia"/>
          <w:color w:val="000000"/>
          <w:szCs w:val="21"/>
        </w:rPr>
        <w:t>3.3.5承包人擅自更换主要施工管理人员的违约责任：</w:t>
      </w:r>
      <w:r>
        <w:rPr>
          <w:rFonts w:hint="eastAsia"/>
          <w:color w:val="000000"/>
          <w:szCs w:val="21"/>
          <w:u w:val="single"/>
        </w:rPr>
        <w:t xml:space="preserve">                         </w:t>
      </w:r>
      <w:r>
        <w:rPr>
          <w:rFonts w:hint="eastAsia"/>
          <w:color w:val="000000"/>
          <w:szCs w:val="21"/>
        </w:rPr>
        <w:t>。</w:t>
      </w:r>
    </w:p>
    <w:p w14:paraId="28421520">
      <w:pPr>
        <w:spacing w:line="360" w:lineRule="auto"/>
        <w:rPr>
          <w:color w:val="000000"/>
          <w:szCs w:val="21"/>
        </w:rPr>
      </w:pPr>
      <w:r>
        <w:rPr>
          <w:rFonts w:hint="eastAsia"/>
          <w:color w:val="000000"/>
          <w:szCs w:val="21"/>
        </w:rPr>
        <w:t xml:space="preserve"> 承包人主要施工管理人员擅自离开施工现场的违约责任：</w:t>
      </w:r>
      <w:r>
        <w:rPr>
          <w:rFonts w:hint="eastAsia"/>
          <w:color w:val="000000"/>
          <w:szCs w:val="21"/>
          <w:u w:val="single"/>
        </w:rPr>
        <w:t xml:space="preserve">                  </w:t>
      </w:r>
      <w:r>
        <w:rPr>
          <w:rFonts w:hint="eastAsia"/>
          <w:color w:val="000000"/>
          <w:szCs w:val="21"/>
        </w:rPr>
        <w:t>。</w:t>
      </w:r>
    </w:p>
    <w:p w14:paraId="025296F1">
      <w:pPr>
        <w:spacing w:line="360" w:lineRule="auto"/>
        <w:rPr>
          <w:color w:val="000000"/>
          <w:szCs w:val="21"/>
        </w:rPr>
      </w:pPr>
      <w:r>
        <w:rPr>
          <w:rFonts w:hint="eastAsia"/>
          <w:color w:val="000000"/>
          <w:szCs w:val="21"/>
        </w:rPr>
        <w:t>3</w:t>
      </w:r>
      <w:bookmarkStart w:id="77" w:name="_Toc303539102"/>
      <w:bookmarkStart w:id="78" w:name="_Toc297120459"/>
      <w:bookmarkStart w:id="79" w:name="_Toc300934945"/>
      <w:bookmarkStart w:id="80" w:name="_Toc296944498"/>
      <w:bookmarkStart w:id="81" w:name="_Toc296346660"/>
      <w:bookmarkStart w:id="82" w:name="_Toc297123492"/>
      <w:bookmarkStart w:id="83" w:name="_Toc296503159"/>
      <w:bookmarkStart w:id="84" w:name="_Toc312677988"/>
      <w:bookmarkStart w:id="85" w:name="_Toc296891199"/>
      <w:bookmarkStart w:id="86" w:name="_Toc304295523"/>
      <w:bookmarkStart w:id="87" w:name="_Toc292559364"/>
      <w:bookmarkStart w:id="88" w:name="_Toc297216151"/>
      <w:bookmarkStart w:id="89" w:name="_Toc296890987"/>
      <w:bookmarkStart w:id="90" w:name="_Toc292559869"/>
      <w:bookmarkStart w:id="91" w:name="_Toc296347158"/>
      <w:bookmarkStart w:id="92" w:name="_Toc297048345"/>
      <w:r>
        <w:rPr>
          <w:rFonts w:hint="eastAsia"/>
          <w:color w:val="000000"/>
          <w:szCs w:val="21"/>
        </w:rPr>
        <w:t>.5 分包</w:t>
      </w:r>
    </w:p>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p w14:paraId="0F95B3D2">
      <w:pPr>
        <w:spacing w:line="360" w:lineRule="auto"/>
        <w:rPr>
          <w:szCs w:val="21"/>
        </w:rPr>
      </w:pPr>
      <w:r>
        <w:rPr>
          <w:rFonts w:hint="eastAsia"/>
          <w:szCs w:val="21"/>
        </w:rPr>
        <w:t>3</w:t>
      </w:r>
      <w:bookmarkStart w:id="93" w:name="_Toc296503160"/>
      <w:bookmarkStart w:id="94" w:name="_Toc296944499"/>
      <w:bookmarkStart w:id="95" w:name="_Toc296347159"/>
      <w:bookmarkStart w:id="96" w:name="_Toc296890988"/>
      <w:bookmarkStart w:id="97" w:name="_Toc303539103"/>
      <w:bookmarkStart w:id="98" w:name="_Toc296346661"/>
      <w:bookmarkStart w:id="99" w:name="_Toc300934946"/>
      <w:bookmarkStart w:id="100" w:name="_Toc297216152"/>
      <w:bookmarkStart w:id="101" w:name="_Toc292559870"/>
      <w:bookmarkStart w:id="102" w:name="_Toc297120460"/>
      <w:bookmarkStart w:id="103" w:name="_Toc297123493"/>
      <w:bookmarkStart w:id="104" w:name="_Toc297048346"/>
      <w:bookmarkStart w:id="105" w:name="_Toc296891200"/>
      <w:bookmarkStart w:id="106" w:name="_Toc304295524"/>
      <w:bookmarkStart w:id="107" w:name="_Toc292559365"/>
      <w:bookmarkStart w:id="108" w:name="_Toc318581158"/>
      <w:bookmarkStart w:id="109" w:name="_Toc312677989"/>
      <w:r>
        <w:rPr>
          <w:rFonts w:hint="eastAsia"/>
          <w:szCs w:val="21"/>
        </w:rPr>
        <w:t>.5.1 分包的一般约定</w:t>
      </w:r>
    </w:p>
    <w:p w14:paraId="0623830B">
      <w:pPr>
        <w:spacing w:line="360" w:lineRule="auto"/>
        <w:rPr>
          <w:szCs w:val="21"/>
        </w:rPr>
      </w:pPr>
      <w:r>
        <w:rPr>
          <w:rFonts w:hint="eastAsia"/>
          <w:szCs w:val="21"/>
        </w:rPr>
        <w:t>禁止分包的工程包括：</w:t>
      </w:r>
      <w:r>
        <w:rPr>
          <w:rFonts w:hint="eastAsia"/>
          <w:color w:val="000000"/>
          <w:szCs w:val="21"/>
          <w:u w:val="single"/>
        </w:rPr>
        <w:t xml:space="preserve">                                            </w:t>
      </w:r>
      <w:r>
        <w:rPr>
          <w:rFonts w:hint="eastAsia"/>
          <w:color w:val="000000"/>
          <w:szCs w:val="21"/>
        </w:rPr>
        <w:t>。</w:t>
      </w:r>
    </w:p>
    <w:p w14:paraId="7A4333CF">
      <w:pPr>
        <w:spacing w:line="360" w:lineRule="auto"/>
        <w:rPr>
          <w:color w:val="000000"/>
          <w:szCs w:val="21"/>
          <w:u w:val="single"/>
        </w:rPr>
      </w:pPr>
      <w:r>
        <w:rPr>
          <w:rFonts w:hint="eastAsia"/>
          <w:szCs w:val="21"/>
        </w:rPr>
        <w:t>主体结构、关键性工作的范围：</w:t>
      </w:r>
      <w:r>
        <w:rPr>
          <w:rFonts w:hint="eastAsia"/>
          <w:color w:val="000000"/>
          <w:szCs w:val="21"/>
          <w:u w:val="single"/>
        </w:rPr>
        <w:t xml:space="preserve">                                     </w:t>
      </w:r>
      <w:r>
        <w:rPr>
          <w:rFonts w:hint="eastAsia"/>
          <w:color w:val="000000"/>
          <w:szCs w:val="21"/>
        </w:rPr>
        <w:t>。</w:t>
      </w:r>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Start w:id="110" w:name="_Toc297216153"/>
      <w:bookmarkStart w:id="111" w:name="_Toc296347160"/>
      <w:bookmarkStart w:id="112" w:name="_Toc296944500"/>
      <w:bookmarkStart w:id="113" w:name="_Toc300934947"/>
      <w:bookmarkStart w:id="114" w:name="_Toc296891201"/>
      <w:bookmarkStart w:id="115" w:name="_Toc304295525"/>
      <w:bookmarkStart w:id="116" w:name="_Toc297123494"/>
      <w:bookmarkStart w:id="117" w:name="_Toc297120461"/>
      <w:bookmarkStart w:id="118" w:name="_Toc296890989"/>
      <w:bookmarkStart w:id="119" w:name="_Toc296503161"/>
      <w:bookmarkStart w:id="120" w:name="_Toc297048347"/>
      <w:bookmarkStart w:id="121" w:name="_Toc303539104"/>
      <w:bookmarkStart w:id="122" w:name="_Toc296346662"/>
    </w:p>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p w14:paraId="4BB5A2B2">
      <w:pPr>
        <w:spacing w:line="360" w:lineRule="auto"/>
        <w:rPr>
          <w:szCs w:val="21"/>
        </w:rPr>
      </w:pPr>
      <w:r>
        <w:rPr>
          <w:rFonts w:hint="eastAsia"/>
          <w:szCs w:val="21"/>
        </w:rPr>
        <w:t>3</w:t>
      </w:r>
      <w:bookmarkStart w:id="123" w:name="_Toc318581159"/>
      <w:bookmarkStart w:id="124" w:name="_Toc312677990"/>
      <w:r>
        <w:rPr>
          <w:rFonts w:hint="eastAsia"/>
          <w:szCs w:val="21"/>
        </w:rPr>
        <w:t>.5.2分包的确定</w:t>
      </w:r>
    </w:p>
    <w:p w14:paraId="0FD3A970">
      <w:pPr>
        <w:spacing w:line="360" w:lineRule="auto"/>
        <w:rPr>
          <w:color w:val="000000"/>
          <w:szCs w:val="21"/>
          <w:u w:val="single"/>
        </w:rPr>
      </w:pPr>
      <w:r>
        <w:rPr>
          <w:rFonts w:hint="eastAsia"/>
          <w:szCs w:val="21"/>
        </w:rPr>
        <w:t>允许分包的专业工程包括：</w:t>
      </w:r>
      <w:r>
        <w:rPr>
          <w:rFonts w:hint="eastAsia"/>
          <w:color w:val="000000"/>
          <w:szCs w:val="21"/>
          <w:u w:val="single"/>
        </w:rPr>
        <w:t xml:space="preserve">                                  </w:t>
      </w:r>
      <w:r>
        <w:rPr>
          <w:rFonts w:hint="eastAsia"/>
          <w:color w:val="000000"/>
          <w:szCs w:val="21"/>
        </w:rPr>
        <w:t>。</w:t>
      </w:r>
    </w:p>
    <w:p w14:paraId="7290C546">
      <w:pPr>
        <w:spacing w:line="360" w:lineRule="auto"/>
        <w:rPr>
          <w:szCs w:val="21"/>
        </w:rPr>
      </w:pPr>
      <w:r>
        <w:rPr>
          <w:rFonts w:hint="eastAsia"/>
          <w:color w:val="000000"/>
          <w:szCs w:val="21"/>
        </w:rPr>
        <w:t>其他关于分包的约定：</w:t>
      </w:r>
      <w:r>
        <w:rPr>
          <w:rFonts w:hint="eastAsia"/>
          <w:color w:val="000000"/>
          <w:szCs w:val="21"/>
          <w:u w:val="single"/>
        </w:rPr>
        <w:t xml:space="preserve">                                          </w:t>
      </w:r>
      <w:r>
        <w:rPr>
          <w:rFonts w:hint="eastAsia"/>
          <w:color w:val="000000"/>
          <w:szCs w:val="21"/>
        </w:rPr>
        <w:t>。</w:t>
      </w:r>
    </w:p>
    <w:p w14:paraId="40F12D44">
      <w:pPr>
        <w:spacing w:line="360" w:lineRule="auto"/>
        <w:rPr>
          <w:szCs w:val="21"/>
        </w:rPr>
      </w:pPr>
      <w:r>
        <w:rPr>
          <w:rFonts w:hint="eastAsia"/>
          <w:szCs w:val="21"/>
        </w:rPr>
        <w:t>3.5.4 分包合同价款</w:t>
      </w:r>
    </w:p>
    <w:p w14:paraId="3280183B">
      <w:pPr>
        <w:spacing w:line="360" w:lineRule="auto"/>
        <w:rPr>
          <w:szCs w:val="21"/>
        </w:rPr>
      </w:pPr>
      <w:r>
        <w:rPr>
          <w:rFonts w:hint="eastAsia"/>
          <w:szCs w:val="21"/>
        </w:rPr>
        <w:t>关于分包合同价款支付的约定：</w:t>
      </w:r>
      <w:r>
        <w:rPr>
          <w:rFonts w:hint="eastAsia"/>
          <w:color w:val="000000"/>
          <w:szCs w:val="21"/>
          <w:u w:val="single"/>
        </w:rPr>
        <w:t xml:space="preserve">                      </w:t>
      </w:r>
      <w:r>
        <w:rPr>
          <w:rFonts w:hint="eastAsia"/>
          <w:color w:val="000000"/>
          <w:szCs w:val="21"/>
        </w:rPr>
        <w:t>。</w:t>
      </w:r>
    </w:p>
    <w:bookmarkEnd w:id="123"/>
    <w:bookmarkEnd w:id="124"/>
    <w:p w14:paraId="3409A64E">
      <w:pPr>
        <w:spacing w:line="360" w:lineRule="auto"/>
        <w:rPr>
          <w:color w:val="000000"/>
          <w:szCs w:val="21"/>
        </w:rPr>
      </w:pPr>
      <w:r>
        <w:rPr>
          <w:rFonts w:hint="eastAsia"/>
          <w:color w:val="000000"/>
          <w:szCs w:val="21"/>
        </w:rPr>
        <w:t>3.6 工程照管与成品、半成品保护</w:t>
      </w:r>
    </w:p>
    <w:p w14:paraId="785A4C41">
      <w:pPr>
        <w:spacing w:line="360" w:lineRule="auto"/>
        <w:rPr>
          <w:color w:val="000000"/>
          <w:szCs w:val="21"/>
          <w:u w:val="single"/>
        </w:rPr>
      </w:pPr>
      <w:r>
        <w:rPr>
          <w:rFonts w:hint="eastAsia"/>
          <w:color w:val="000000"/>
          <w:szCs w:val="21"/>
        </w:rPr>
        <w:t>承包人负责照管工程及工程相关的材料、工程设备的起始时间：</w:t>
      </w:r>
      <w:r>
        <w:rPr>
          <w:rFonts w:hint="eastAsia"/>
          <w:color w:val="000000"/>
          <w:szCs w:val="21"/>
          <w:u w:val="single"/>
        </w:rPr>
        <w:t xml:space="preserve">                   </w:t>
      </w:r>
      <w:r>
        <w:rPr>
          <w:rFonts w:hint="eastAsia"/>
          <w:color w:val="000000"/>
          <w:szCs w:val="21"/>
        </w:rPr>
        <w:t>。</w:t>
      </w:r>
    </w:p>
    <w:p w14:paraId="0232D7FD">
      <w:pPr>
        <w:spacing w:line="360" w:lineRule="auto"/>
        <w:rPr>
          <w:color w:val="000000"/>
          <w:szCs w:val="21"/>
        </w:rPr>
      </w:pPr>
      <w:r>
        <w:rPr>
          <w:rFonts w:hint="eastAsia"/>
          <w:color w:val="000000"/>
          <w:szCs w:val="21"/>
        </w:rPr>
        <w:t>3.7 履约担保</w:t>
      </w:r>
    </w:p>
    <w:p w14:paraId="05BB075A">
      <w:pPr>
        <w:spacing w:line="360" w:lineRule="auto"/>
        <w:rPr>
          <w:color w:val="000000"/>
          <w:szCs w:val="21"/>
        </w:rPr>
      </w:pPr>
      <w:r>
        <w:rPr>
          <w:rFonts w:hint="eastAsia"/>
          <w:color w:val="000000"/>
          <w:szCs w:val="21"/>
        </w:rPr>
        <w:t>承包人是否提供履约担保：</w:t>
      </w:r>
      <w:r>
        <w:rPr>
          <w:rFonts w:hint="eastAsia"/>
          <w:color w:val="000000"/>
          <w:szCs w:val="21"/>
          <w:u w:val="single"/>
        </w:rPr>
        <w:t xml:space="preserve">                              </w:t>
      </w:r>
      <w:r>
        <w:rPr>
          <w:rFonts w:hint="eastAsia"/>
          <w:color w:val="000000"/>
          <w:szCs w:val="21"/>
        </w:rPr>
        <w:t>。</w:t>
      </w:r>
    </w:p>
    <w:p w14:paraId="6BE161F0">
      <w:pPr>
        <w:spacing w:line="360" w:lineRule="auto"/>
        <w:rPr>
          <w:color w:val="000000"/>
          <w:szCs w:val="21"/>
        </w:rPr>
      </w:pPr>
      <w:r>
        <w:rPr>
          <w:rFonts w:hint="eastAsia"/>
          <w:color w:val="000000"/>
          <w:szCs w:val="21"/>
        </w:rPr>
        <w:t>承包人提供履约担保的形式、金额及期限的：</w:t>
      </w:r>
      <w:r>
        <w:rPr>
          <w:rFonts w:hint="eastAsia"/>
          <w:color w:val="000000"/>
          <w:szCs w:val="21"/>
          <w:u w:val="single"/>
        </w:rPr>
        <w:t xml:space="preserve">                        </w:t>
      </w:r>
      <w:r>
        <w:rPr>
          <w:rFonts w:hint="eastAsia"/>
          <w:color w:val="000000"/>
          <w:szCs w:val="21"/>
        </w:rPr>
        <w:t>。</w:t>
      </w:r>
    </w:p>
    <w:p w14:paraId="10094034">
      <w:pPr>
        <w:adjustRightInd w:val="0"/>
        <w:spacing w:line="360" w:lineRule="auto"/>
        <w:rPr>
          <w:color w:val="000000"/>
          <w:szCs w:val="21"/>
        </w:rPr>
      </w:pPr>
      <w:bookmarkStart w:id="125" w:name="_Toc351203636"/>
      <w:r>
        <w:rPr>
          <w:rFonts w:hint="eastAsia"/>
          <w:color w:val="000000"/>
          <w:szCs w:val="21"/>
        </w:rPr>
        <w:t>4</w:t>
      </w:r>
      <w:bookmarkStart w:id="126" w:name="_Toc292559366"/>
      <w:bookmarkStart w:id="127" w:name="_Toc296891202"/>
      <w:bookmarkStart w:id="128" w:name="_Toc296346663"/>
      <w:bookmarkStart w:id="129" w:name="_Toc296347161"/>
      <w:bookmarkStart w:id="130" w:name="_Toc296890990"/>
      <w:bookmarkStart w:id="131" w:name="_Toc267251413"/>
      <w:bookmarkStart w:id="132" w:name="_Toc292559871"/>
      <w:bookmarkStart w:id="133" w:name="_Toc296503162"/>
      <w:bookmarkStart w:id="134" w:name="_Toc297120462"/>
      <w:bookmarkStart w:id="135" w:name="_Toc297048348"/>
      <w:bookmarkStart w:id="136" w:name="_Toc296944501"/>
      <w:r>
        <w:rPr>
          <w:rFonts w:hint="eastAsia"/>
          <w:color w:val="000000"/>
          <w:szCs w:val="21"/>
        </w:rPr>
        <w:t>. 监</w:t>
      </w:r>
      <w:bookmarkEnd w:id="126"/>
      <w:bookmarkEnd w:id="127"/>
      <w:bookmarkEnd w:id="128"/>
      <w:bookmarkEnd w:id="129"/>
      <w:bookmarkEnd w:id="130"/>
      <w:bookmarkEnd w:id="131"/>
      <w:bookmarkEnd w:id="132"/>
      <w:bookmarkEnd w:id="133"/>
      <w:bookmarkEnd w:id="134"/>
      <w:bookmarkEnd w:id="135"/>
      <w:bookmarkEnd w:id="136"/>
      <w:r>
        <w:rPr>
          <w:rFonts w:hint="eastAsia"/>
          <w:color w:val="000000"/>
          <w:szCs w:val="21"/>
        </w:rPr>
        <w:t>理人</w:t>
      </w:r>
      <w:bookmarkEnd w:id="125"/>
    </w:p>
    <w:p w14:paraId="02D615A9">
      <w:pPr>
        <w:spacing w:line="360" w:lineRule="auto"/>
        <w:rPr>
          <w:color w:val="000000"/>
          <w:szCs w:val="21"/>
        </w:rPr>
      </w:pPr>
      <w:r>
        <w:rPr>
          <w:rFonts w:hint="eastAsia"/>
          <w:color w:val="000000"/>
          <w:szCs w:val="21"/>
        </w:rPr>
        <w:t>4.1监理人的一般规定</w:t>
      </w:r>
    </w:p>
    <w:p w14:paraId="4BBA590F">
      <w:pPr>
        <w:spacing w:line="360" w:lineRule="auto"/>
        <w:rPr>
          <w:color w:val="000000"/>
          <w:szCs w:val="21"/>
        </w:rPr>
      </w:pPr>
      <w:r>
        <w:rPr>
          <w:rFonts w:hint="eastAsia"/>
          <w:color w:val="000000"/>
          <w:szCs w:val="21"/>
        </w:rPr>
        <w:t>关于监理人的监理内容：</w:t>
      </w:r>
      <w:r>
        <w:rPr>
          <w:rFonts w:hint="eastAsia"/>
          <w:color w:val="000000"/>
          <w:szCs w:val="21"/>
          <w:u w:val="single"/>
        </w:rPr>
        <w:t xml:space="preserve">                               </w:t>
      </w:r>
      <w:r>
        <w:rPr>
          <w:rFonts w:hint="eastAsia"/>
          <w:color w:val="000000"/>
          <w:szCs w:val="21"/>
        </w:rPr>
        <w:t>。</w:t>
      </w:r>
    </w:p>
    <w:p w14:paraId="4176C462">
      <w:pPr>
        <w:spacing w:line="360" w:lineRule="auto"/>
        <w:rPr>
          <w:color w:val="000000"/>
          <w:szCs w:val="21"/>
        </w:rPr>
      </w:pPr>
      <w:r>
        <w:rPr>
          <w:rFonts w:hint="eastAsia"/>
          <w:color w:val="000000"/>
          <w:szCs w:val="21"/>
        </w:rPr>
        <w:t>关于监理人的监理权限：</w:t>
      </w:r>
      <w:r>
        <w:rPr>
          <w:rFonts w:hint="eastAsia"/>
          <w:color w:val="000000"/>
          <w:szCs w:val="21"/>
          <w:u w:val="single"/>
        </w:rPr>
        <w:t xml:space="preserve">                               </w:t>
      </w:r>
      <w:r>
        <w:rPr>
          <w:rFonts w:hint="eastAsia"/>
          <w:color w:val="000000"/>
          <w:szCs w:val="21"/>
        </w:rPr>
        <w:t xml:space="preserve">。 </w:t>
      </w:r>
    </w:p>
    <w:p w14:paraId="795EEDF8">
      <w:pPr>
        <w:spacing w:line="360" w:lineRule="auto"/>
        <w:rPr>
          <w:color w:val="000000"/>
          <w:szCs w:val="21"/>
        </w:rPr>
      </w:pPr>
      <w:r>
        <w:rPr>
          <w:rFonts w:hint="eastAsia"/>
          <w:color w:val="000000"/>
          <w:szCs w:val="21"/>
        </w:rPr>
        <w:t>关于监理人在施工现场的办公场所、生活场所的提供和费用承担的约定：</w:t>
      </w:r>
      <w:r>
        <w:rPr>
          <w:rFonts w:hint="eastAsia"/>
          <w:color w:val="000000"/>
          <w:szCs w:val="21"/>
          <w:u w:val="single"/>
        </w:rPr>
        <w:t xml:space="preserve">                  </w:t>
      </w:r>
      <w:r>
        <w:rPr>
          <w:rFonts w:hint="eastAsia"/>
          <w:color w:val="000000"/>
          <w:szCs w:val="21"/>
        </w:rPr>
        <w:t>。</w:t>
      </w:r>
    </w:p>
    <w:p w14:paraId="5BC4B59D">
      <w:pPr>
        <w:spacing w:line="360" w:lineRule="auto"/>
        <w:rPr>
          <w:color w:val="000000"/>
          <w:szCs w:val="21"/>
        </w:rPr>
      </w:pPr>
      <w:r>
        <w:rPr>
          <w:rFonts w:hint="eastAsia"/>
          <w:color w:val="000000"/>
          <w:szCs w:val="21"/>
        </w:rPr>
        <w:t>4.2 监理人员</w:t>
      </w:r>
    </w:p>
    <w:p w14:paraId="4C8EB6B0">
      <w:pPr>
        <w:spacing w:line="360" w:lineRule="auto"/>
        <w:rPr>
          <w:color w:val="000000"/>
          <w:szCs w:val="21"/>
        </w:rPr>
      </w:pPr>
      <w:r>
        <w:rPr>
          <w:rFonts w:hint="eastAsia"/>
          <w:color w:val="000000"/>
          <w:szCs w:val="21"/>
        </w:rPr>
        <w:t>总监理工程师：</w:t>
      </w:r>
    </w:p>
    <w:p w14:paraId="5B507351">
      <w:pPr>
        <w:spacing w:line="360" w:lineRule="auto"/>
        <w:rPr>
          <w:color w:val="000000"/>
          <w:szCs w:val="21"/>
        </w:rPr>
      </w:pPr>
      <w:r>
        <w:rPr>
          <w:rFonts w:hint="eastAsia"/>
          <w:color w:val="000000"/>
          <w:szCs w:val="21"/>
        </w:rPr>
        <w:t>姓    名：</w:t>
      </w:r>
      <w:r>
        <w:rPr>
          <w:rFonts w:hint="eastAsia"/>
          <w:color w:val="000000"/>
          <w:szCs w:val="21"/>
          <w:u w:val="single"/>
        </w:rPr>
        <w:t>   </w:t>
      </w:r>
      <w:r>
        <w:rPr>
          <w:rFonts w:hint="eastAsia"/>
          <w:color w:val="000000"/>
          <w:szCs w:val="21"/>
        </w:rPr>
        <w:t>；</w:t>
      </w:r>
    </w:p>
    <w:p w14:paraId="25C2F3AC">
      <w:pPr>
        <w:spacing w:line="360" w:lineRule="auto"/>
        <w:rPr>
          <w:color w:val="000000"/>
          <w:szCs w:val="21"/>
        </w:rPr>
      </w:pPr>
      <w:r>
        <w:rPr>
          <w:rFonts w:hint="eastAsia"/>
          <w:color w:val="000000"/>
          <w:szCs w:val="21"/>
        </w:rPr>
        <w:t>职    务：</w:t>
      </w:r>
      <w:r>
        <w:rPr>
          <w:rFonts w:hint="eastAsia"/>
          <w:color w:val="000000"/>
          <w:szCs w:val="21"/>
          <w:u w:val="single"/>
        </w:rPr>
        <w:t>   </w:t>
      </w:r>
      <w:r>
        <w:rPr>
          <w:rFonts w:hint="eastAsia"/>
          <w:color w:val="000000"/>
          <w:szCs w:val="21"/>
        </w:rPr>
        <w:t>；</w:t>
      </w:r>
    </w:p>
    <w:p w14:paraId="72623354">
      <w:pPr>
        <w:spacing w:line="360" w:lineRule="auto"/>
        <w:rPr>
          <w:color w:val="000000"/>
          <w:szCs w:val="21"/>
        </w:rPr>
      </w:pPr>
      <w:r>
        <w:rPr>
          <w:rFonts w:hint="eastAsia"/>
          <w:color w:val="000000"/>
          <w:szCs w:val="21"/>
        </w:rPr>
        <w:t>监理工程师执业资格证书号：</w:t>
      </w:r>
      <w:r>
        <w:rPr>
          <w:rFonts w:hint="eastAsia"/>
          <w:color w:val="000000"/>
          <w:szCs w:val="21"/>
          <w:u w:val="single"/>
        </w:rPr>
        <w:t> </w:t>
      </w:r>
      <w:r>
        <w:rPr>
          <w:rFonts w:hint="eastAsia"/>
          <w:color w:val="000000"/>
          <w:szCs w:val="21"/>
        </w:rPr>
        <w:t>；</w:t>
      </w:r>
    </w:p>
    <w:p w14:paraId="51FA009B">
      <w:pPr>
        <w:spacing w:line="360" w:lineRule="auto"/>
        <w:rPr>
          <w:color w:val="000000"/>
          <w:szCs w:val="21"/>
        </w:rPr>
      </w:pPr>
      <w:r>
        <w:rPr>
          <w:rFonts w:hint="eastAsia"/>
          <w:color w:val="000000"/>
          <w:szCs w:val="21"/>
        </w:rPr>
        <w:t>联系电话：</w:t>
      </w:r>
      <w:r>
        <w:rPr>
          <w:rFonts w:hint="eastAsia"/>
          <w:color w:val="000000"/>
          <w:szCs w:val="21"/>
          <w:u w:val="single"/>
        </w:rPr>
        <w:t>   </w:t>
      </w:r>
      <w:r>
        <w:rPr>
          <w:rFonts w:hint="eastAsia"/>
          <w:color w:val="000000"/>
          <w:szCs w:val="21"/>
        </w:rPr>
        <w:t>；</w:t>
      </w:r>
    </w:p>
    <w:p w14:paraId="361849C9">
      <w:pPr>
        <w:spacing w:line="360" w:lineRule="auto"/>
        <w:rPr>
          <w:color w:val="000000"/>
          <w:szCs w:val="21"/>
        </w:rPr>
      </w:pPr>
      <w:r>
        <w:rPr>
          <w:rFonts w:hint="eastAsia"/>
          <w:color w:val="000000"/>
          <w:szCs w:val="21"/>
        </w:rPr>
        <w:t>电子信箱：</w:t>
      </w:r>
      <w:r>
        <w:rPr>
          <w:rFonts w:hint="eastAsia"/>
          <w:color w:val="000000"/>
          <w:szCs w:val="21"/>
          <w:u w:val="single"/>
        </w:rPr>
        <w:t>   </w:t>
      </w:r>
      <w:r>
        <w:rPr>
          <w:rFonts w:hint="eastAsia"/>
          <w:color w:val="000000"/>
          <w:szCs w:val="21"/>
        </w:rPr>
        <w:t>；</w:t>
      </w:r>
    </w:p>
    <w:p w14:paraId="3C81B5CA">
      <w:pPr>
        <w:spacing w:line="360" w:lineRule="auto"/>
        <w:rPr>
          <w:color w:val="000000"/>
          <w:szCs w:val="21"/>
        </w:rPr>
      </w:pPr>
      <w:r>
        <w:rPr>
          <w:rFonts w:hint="eastAsia"/>
          <w:color w:val="000000"/>
          <w:szCs w:val="21"/>
        </w:rPr>
        <w:t>通信地址：</w:t>
      </w:r>
      <w:r>
        <w:rPr>
          <w:rFonts w:hint="eastAsia"/>
          <w:color w:val="000000"/>
          <w:szCs w:val="21"/>
          <w:u w:val="single"/>
        </w:rPr>
        <w:t>   </w:t>
      </w:r>
      <w:r>
        <w:rPr>
          <w:rFonts w:hint="eastAsia"/>
          <w:color w:val="000000"/>
          <w:szCs w:val="21"/>
        </w:rPr>
        <w:t>；</w:t>
      </w:r>
    </w:p>
    <w:p w14:paraId="3501621C">
      <w:pPr>
        <w:spacing w:line="360" w:lineRule="auto"/>
        <w:rPr>
          <w:color w:val="000000"/>
          <w:szCs w:val="21"/>
        </w:rPr>
      </w:pPr>
      <w:r>
        <w:rPr>
          <w:rFonts w:hint="eastAsia"/>
          <w:color w:val="000000"/>
          <w:szCs w:val="21"/>
        </w:rPr>
        <w:t>关于监理人的其他约定：</w:t>
      </w:r>
      <w:r>
        <w:rPr>
          <w:rFonts w:hint="eastAsia"/>
          <w:color w:val="000000"/>
          <w:szCs w:val="21"/>
          <w:u w:val="single"/>
        </w:rPr>
        <w:t>   </w:t>
      </w:r>
      <w:r>
        <w:rPr>
          <w:rFonts w:hint="eastAsia"/>
          <w:color w:val="000000"/>
          <w:szCs w:val="21"/>
        </w:rPr>
        <w:t>。</w:t>
      </w:r>
    </w:p>
    <w:p w14:paraId="67B30C34">
      <w:pPr>
        <w:spacing w:line="360" w:lineRule="auto"/>
        <w:rPr>
          <w:color w:val="000000"/>
          <w:szCs w:val="21"/>
        </w:rPr>
      </w:pPr>
      <w:r>
        <w:rPr>
          <w:rFonts w:hint="eastAsia"/>
          <w:color w:val="000000"/>
          <w:szCs w:val="21"/>
        </w:rPr>
        <w:t>4.4 商定或确定</w:t>
      </w:r>
    </w:p>
    <w:p w14:paraId="1B59F17A">
      <w:pPr>
        <w:spacing w:line="360" w:lineRule="auto"/>
        <w:rPr>
          <w:color w:val="000000"/>
          <w:szCs w:val="21"/>
        </w:rPr>
      </w:pPr>
      <w:bookmarkStart w:id="137" w:name="_Toc267251418"/>
      <w:r>
        <w:rPr>
          <w:rFonts w:hint="eastAsia"/>
          <w:color w:val="000000"/>
          <w:szCs w:val="21"/>
        </w:rPr>
        <w:t>在发包人和承包人不能通过协商达成一致意见时，发包人授权监理人对以下事项进行确定：</w:t>
      </w:r>
    </w:p>
    <w:p w14:paraId="07642872">
      <w:pPr>
        <w:adjustRightInd w:val="0"/>
        <w:spacing w:line="360" w:lineRule="auto"/>
        <w:rPr>
          <w:color w:val="000000"/>
          <w:szCs w:val="21"/>
        </w:rPr>
      </w:pPr>
      <w:r>
        <w:rPr>
          <w:rFonts w:hint="eastAsia"/>
          <w:color w:val="000000"/>
          <w:szCs w:val="21"/>
        </w:rPr>
        <w:t>（1）</w:t>
      </w:r>
      <w:r>
        <w:rPr>
          <w:rFonts w:hint="eastAsia"/>
          <w:color w:val="000000"/>
          <w:szCs w:val="21"/>
          <w:u w:val="single"/>
        </w:rPr>
        <w:t xml:space="preserve">                                   </w:t>
      </w:r>
      <w:r>
        <w:rPr>
          <w:rFonts w:hint="eastAsia"/>
          <w:color w:val="000000"/>
          <w:szCs w:val="21"/>
        </w:rPr>
        <w:t>；</w:t>
      </w:r>
    </w:p>
    <w:p w14:paraId="4A160A78">
      <w:pPr>
        <w:adjustRightInd w:val="0"/>
        <w:spacing w:line="360" w:lineRule="auto"/>
        <w:rPr>
          <w:color w:val="000000"/>
          <w:szCs w:val="21"/>
        </w:rPr>
      </w:pPr>
      <w:r>
        <w:rPr>
          <w:rFonts w:hint="eastAsia"/>
          <w:color w:val="000000"/>
          <w:szCs w:val="21"/>
        </w:rPr>
        <w:t>（2）</w:t>
      </w:r>
      <w:r>
        <w:rPr>
          <w:rFonts w:hint="eastAsia"/>
          <w:color w:val="000000"/>
          <w:szCs w:val="21"/>
          <w:u w:val="single"/>
        </w:rPr>
        <w:t xml:space="preserve">                                   </w:t>
      </w:r>
      <w:r>
        <w:rPr>
          <w:rFonts w:hint="eastAsia"/>
          <w:color w:val="000000"/>
          <w:szCs w:val="21"/>
        </w:rPr>
        <w:t>；</w:t>
      </w:r>
    </w:p>
    <w:p w14:paraId="7886F3A7">
      <w:pPr>
        <w:adjustRightInd w:val="0"/>
        <w:spacing w:line="360" w:lineRule="auto"/>
        <w:rPr>
          <w:color w:val="000000"/>
          <w:szCs w:val="21"/>
        </w:rPr>
      </w:pPr>
      <w:r>
        <w:rPr>
          <w:rFonts w:hint="eastAsia"/>
          <w:color w:val="000000"/>
          <w:szCs w:val="21"/>
        </w:rPr>
        <w:t>（3）</w:t>
      </w:r>
      <w:r>
        <w:rPr>
          <w:rFonts w:hint="eastAsia"/>
          <w:color w:val="000000"/>
          <w:szCs w:val="21"/>
          <w:u w:val="single"/>
        </w:rPr>
        <w:t xml:space="preserve">                                   </w:t>
      </w:r>
      <w:r>
        <w:rPr>
          <w:rFonts w:hint="eastAsia"/>
          <w:color w:val="000000"/>
          <w:szCs w:val="21"/>
        </w:rPr>
        <w:t>。</w:t>
      </w:r>
    </w:p>
    <w:p w14:paraId="0D1BE41F">
      <w:pPr>
        <w:adjustRightInd w:val="0"/>
        <w:spacing w:line="360" w:lineRule="auto"/>
        <w:rPr>
          <w:color w:val="000000"/>
          <w:szCs w:val="21"/>
        </w:rPr>
      </w:pPr>
      <w:bookmarkStart w:id="138" w:name="_Toc351203637"/>
      <w:r>
        <w:rPr>
          <w:rFonts w:hint="eastAsia"/>
          <w:color w:val="000000"/>
          <w:szCs w:val="21"/>
        </w:rPr>
        <w:t>5</w:t>
      </w:r>
      <w:bookmarkEnd w:id="137"/>
      <w:bookmarkStart w:id="139" w:name="_Toc297120463"/>
      <w:bookmarkStart w:id="140" w:name="_Toc292559872"/>
      <w:bookmarkStart w:id="141" w:name="_Toc296944502"/>
      <w:bookmarkStart w:id="142" w:name="_Toc296346664"/>
      <w:bookmarkStart w:id="143" w:name="_Toc297048349"/>
      <w:bookmarkStart w:id="144" w:name="_Toc296347162"/>
      <w:bookmarkStart w:id="145" w:name="_Toc296890991"/>
      <w:bookmarkStart w:id="146" w:name="_Toc296503163"/>
      <w:bookmarkStart w:id="147" w:name="_Toc292559367"/>
      <w:bookmarkStart w:id="148" w:name="_Toc296891203"/>
      <w:r>
        <w:rPr>
          <w:rFonts w:hint="eastAsia"/>
          <w:color w:val="000000"/>
          <w:szCs w:val="21"/>
        </w:rPr>
        <w:t>. 工程质量</w:t>
      </w:r>
      <w:bookmarkEnd w:id="138"/>
    </w:p>
    <w:p w14:paraId="0FE03BAD">
      <w:pPr>
        <w:spacing w:line="360" w:lineRule="auto"/>
        <w:rPr>
          <w:color w:val="000000"/>
          <w:szCs w:val="21"/>
        </w:rPr>
      </w:pPr>
      <w:r>
        <w:rPr>
          <w:rFonts w:hint="eastAsia"/>
          <w:color w:val="000000"/>
          <w:szCs w:val="21"/>
        </w:rPr>
        <w:t>5.1 质量要求</w:t>
      </w:r>
    </w:p>
    <w:p w14:paraId="30B2D4C3">
      <w:pPr>
        <w:spacing w:line="360" w:lineRule="auto"/>
        <w:rPr>
          <w:szCs w:val="21"/>
        </w:rPr>
      </w:pPr>
      <w:r>
        <w:rPr>
          <w:rFonts w:hint="eastAsia"/>
          <w:szCs w:val="21"/>
        </w:rPr>
        <w:t>5</w:t>
      </w:r>
      <w:bookmarkStart w:id="149" w:name="_Toc312677997"/>
      <w:bookmarkStart w:id="150" w:name="_Toc303539106"/>
      <w:bookmarkStart w:id="151" w:name="_Toc297123496"/>
      <w:bookmarkStart w:id="152" w:name="_Toc297216155"/>
      <w:bookmarkStart w:id="153" w:name="_Toc318581164"/>
      <w:bookmarkStart w:id="154" w:name="_Toc304295527"/>
      <w:bookmarkStart w:id="155" w:name="_Toc300934949"/>
      <w:r>
        <w:rPr>
          <w:rFonts w:hint="eastAsia"/>
          <w:szCs w:val="21"/>
        </w:rPr>
        <w:t>.1.1 特殊质量标准和要求：</w:t>
      </w:r>
      <w:r>
        <w:rPr>
          <w:rFonts w:hint="eastAsia"/>
          <w:szCs w:val="21"/>
          <w:u w:val="single"/>
        </w:rPr>
        <w:t xml:space="preserve">                                        </w:t>
      </w:r>
      <w:r>
        <w:rPr>
          <w:rFonts w:hint="eastAsia"/>
          <w:szCs w:val="21"/>
        </w:rPr>
        <w:t>。</w:t>
      </w:r>
    </w:p>
    <w:p w14:paraId="044ED5EE">
      <w:pPr>
        <w:spacing w:line="360" w:lineRule="auto"/>
        <w:rPr>
          <w:color w:val="000000"/>
          <w:szCs w:val="21"/>
        </w:rPr>
      </w:pPr>
      <w:r>
        <w:rPr>
          <w:rFonts w:hint="eastAsia"/>
          <w:szCs w:val="21"/>
        </w:rPr>
        <w:t>关于工程奖项的约定：</w:t>
      </w:r>
      <w:r>
        <w:rPr>
          <w:rFonts w:hint="eastAsia"/>
          <w:szCs w:val="21"/>
          <w:u w:val="single"/>
        </w:rPr>
        <w:t xml:space="preserve">                                        </w:t>
      </w:r>
      <w:r>
        <w:rPr>
          <w:rFonts w:hint="eastAsia"/>
          <w:szCs w:val="21"/>
        </w:rPr>
        <w:t>。</w:t>
      </w:r>
    </w:p>
    <w:p w14:paraId="539B1EBE">
      <w:pPr>
        <w:spacing w:line="360" w:lineRule="auto"/>
        <w:rPr>
          <w:color w:val="000000"/>
          <w:szCs w:val="21"/>
        </w:rPr>
      </w:pPr>
      <w:r>
        <w:rPr>
          <w:rFonts w:hint="eastAsia"/>
          <w:color w:val="000000"/>
          <w:szCs w:val="21"/>
        </w:rPr>
        <w:t>5.3 隐蔽工程检查</w:t>
      </w:r>
    </w:p>
    <w:p w14:paraId="2F2CB380">
      <w:pPr>
        <w:spacing w:line="360" w:lineRule="auto"/>
        <w:rPr>
          <w:szCs w:val="21"/>
        </w:rPr>
      </w:pPr>
      <w:r>
        <w:rPr>
          <w:rFonts w:hint="eastAsia"/>
          <w:szCs w:val="21"/>
        </w:rPr>
        <w:t>5.3.2承包人提前通知监理人隐蔽工程检查的期限的约定：</w:t>
      </w:r>
      <w:r>
        <w:rPr>
          <w:rFonts w:hint="eastAsia"/>
          <w:szCs w:val="21"/>
          <w:u w:val="single"/>
        </w:rPr>
        <w:t xml:space="preserve">                      </w:t>
      </w:r>
      <w:r>
        <w:rPr>
          <w:rFonts w:hint="eastAsia"/>
          <w:szCs w:val="21"/>
        </w:rPr>
        <w:t>。</w:t>
      </w:r>
    </w:p>
    <w:p w14:paraId="1ADD2E6E">
      <w:pPr>
        <w:spacing w:line="360" w:lineRule="auto"/>
        <w:rPr>
          <w:szCs w:val="21"/>
        </w:rPr>
      </w:pPr>
      <w:r>
        <w:rPr>
          <w:rFonts w:hint="eastAsia"/>
          <w:szCs w:val="21"/>
        </w:rPr>
        <w:t>监理人不能按时进行检查时，应提前</w:t>
      </w:r>
      <w:r>
        <w:rPr>
          <w:rFonts w:hint="eastAsia"/>
          <w:szCs w:val="21"/>
          <w:u w:val="single"/>
        </w:rPr>
        <w:t xml:space="preserve">       </w:t>
      </w:r>
      <w:r>
        <w:rPr>
          <w:rFonts w:hint="eastAsia"/>
          <w:szCs w:val="21"/>
        </w:rPr>
        <w:t>小时提交书面延期要求。</w:t>
      </w:r>
    </w:p>
    <w:p w14:paraId="4FB41B2F">
      <w:pPr>
        <w:spacing w:line="360" w:lineRule="auto"/>
        <w:rPr>
          <w:szCs w:val="21"/>
        </w:rPr>
      </w:pPr>
      <w:r>
        <w:rPr>
          <w:rFonts w:hint="eastAsia"/>
          <w:szCs w:val="21"/>
        </w:rPr>
        <w:t>关于延期最长不得超过：</w:t>
      </w:r>
      <w:r>
        <w:rPr>
          <w:rFonts w:hint="eastAsia"/>
          <w:szCs w:val="21"/>
          <w:u w:val="single"/>
        </w:rPr>
        <w:t xml:space="preserve">         </w:t>
      </w:r>
      <w:r>
        <w:rPr>
          <w:rFonts w:hint="eastAsia"/>
          <w:szCs w:val="21"/>
        </w:rPr>
        <w:t>小时。</w:t>
      </w:r>
    </w:p>
    <w:p w14:paraId="3C3B6F2F">
      <w:pPr>
        <w:adjustRightInd w:val="0"/>
        <w:spacing w:line="360" w:lineRule="auto"/>
        <w:rPr>
          <w:color w:val="000000"/>
          <w:szCs w:val="21"/>
        </w:rPr>
      </w:pPr>
      <w:bookmarkStart w:id="156" w:name="_Toc351203638"/>
      <w:r>
        <w:rPr>
          <w:rFonts w:hint="eastAsia"/>
          <w:color w:val="000000"/>
          <w:szCs w:val="21"/>
        </w:rPr>
        <w:t>6. 安全文明施工与环境保护</w:t>
      </w:r>
      <w:bookmarkEnd w:id="156"/>
    </w:p>
    <w:p w14:paraId="60C3906F">
      <w:pPr>
        <w:spacing w:line="360" w:lineRule="auto"/>
        <w:rPr>
          <w:color w:val="000000"/>
          <w:szCs w:val="21"/>
        </w:rPr>
      </w:pPr>
      <w:r>
        <w:rPr>
          <w:rFonts w:hint="eastAsia"/>
          <w:color w:val="000000"/>
          <w:szCs w:val="21"/>
        </w:rPr>
        <w:t>6.1安全文明施工</w:t>
      </w:r>
    </w:p>
    <w:p w14:paraId="4DCBD83B">
      <w:pPr>
        <w:spacing w:line="360" w:lineRule="auto"/>
        <w:rPr>
          <w:szCs w:val="21"/>
        </w:rPr>
      </w:pPr>
      <w:r>
        <w:rPr>
          <w:rFonts w:hint="eastAsia"/>
          <w:szCs w:val="21"/>
        </w:rPr>
        <w:t>6.1.1</w:t>
      </w:r>
      <w:r>
        <w:rPr>
          <w:rFonts w:hint="eastAsia"/>
          <w:color w:val="000000"/>
          <w:szCs w:val="21"/>
        </w:rPr>
        <w:t xml:space="preserve"> 项目安全生产的达标目标及相应事项</w:t>
      </w:r>
      <w:r>
        <w:rPr>
          <w:rFonts w:hint="eastAsia"/>
          <w:szCs w:val="21"/>
          <w:u w:val="single"/>
        </w:rPr>
        <w:t xml:space="preserve">                                   </w:t>
      </w:r>
      <w:r>
        <w:rPr>
          <w:rFonts w:hint="eastAsia"/>
          <w:szCs w:val="21"/>
        </w:rPr>
        <w:t>。</w:t>
      </w:r>
    </w:p>
    <w:p w14:paraId="61A84137">
      <w:pPr>
        <w:spacing w:line="360" w:lineRule="auto"/>
        <w:rPr>
          <w:szCs w:val="21"/>
        </w:rPr>
      </w:pPr>
      <w:r>
        <w:rPr>
          <w:rFonts w:hint="eastAsia"/>
          <w:szCs w:val="21"/>
        </w:rPr>
        <w:t>6.1.4 关于治安保卫的特别约定：</w:t>
      </w:r>
      <w:r>
        <w:rPr>
          <w:rFonts w:hint="eastAsia"/>
          <w:szCs w:val="21"/>
          <w:u w:val="single"/>
        </w:rPr>
        <w:t xml:space="preserve">                                           </w:t>
      </w:r>
      <w:r>
        <w:rPr>
          <w:rFonts w:hint="eastAsia"/>
          <w:szCs w:val="21"/>
        </w:rPr>
        <w:t>。</w:t>
      </w:r>
    </w:p>
    <w:p w14:paraId="5F870AB9">
      <w:pPr>
        <w:spacing w:line="360" w:lineRule="auto"/>
        <w:rPr>
          <w:szCs w:val="21"/>
        </w:rPr>
      </w:pPr>
      <w:r>
        <w:rPr>
          <w:rFonts w:hint="eastAsia"/>
          <w:szCs w:val="21"/>
        </w:rPr>
        <w:t>关于编制施工场地治安管理计划的约定：</w:t>
      </w:r>
      <w:r>
        <w:rPr>
          <w:rFonts w:hint="eastAsia"/>
          <w:szCs w:val="21"/>
          <w:u w:val="single"/>
        </w:rPr>
        <w:t xml:space="preserve">                                    </w:t>
      </w:r>
      <w:r>
        <w:rPr>
          <w:rFonts w:hint="eastAsia"/>
          <w:szCs w:val="21"/>
        </w:rPr>
        <w:t>。</w:t>
      </w:r>
    </w:p>
    <w:p w14:paraId="3DC1DCD6">
      <w:pPr>
        <w:spacing w:line="360" w:lineRule="auto"/>
        <w:rPr>
          <w:szCs w:val="21"/>
        </w:rPr>
      </w:pPr>
      <w:r>
        <w:rPr>
          <w:rFonts w:hint="eastAsia"/>
          <w:szCs w:val="21"/>
        </w:rPr>
        <w:t>6.1.5 文明施工</w:t>
      </w:r>
    </w:p>
    <w:p w14:paraId="36340E27">
      <w:pPr>
        <w:spacing w:line="360" w:lineRule="auto"/>
        <w:rPr>
          <w:szCs w:val="21"/>
        </w:rPr>
      </w:pPr>
      <w:r>
        <w:rPr>
          <w:rFonts w:hint="eastAsia"/>
          <w:szCs w:val="21"/>
        </w:rPr>
        <w:t>合同当事人对文明施工的要求：</w:t>
      </w:r>
      <w:r>
        <w:rPr>
          <w:rFonts w:hint="eastAsia"/>
          <w:szCs w:val="21"/>
          <w:u w:val="single"/>
        </w:rPr>
        <w:t xml:space="preserve">                                          </w:t>
      </w:r>
      <w:r>
        <w:rPr>
          <w:rFonts w:hint="eastAsia"/>
          <w:szCs w:val="21"/>
        </w:rPr>
        <w:t>。</w:t>
      </w:r>
    </w:p>
    <w:p w14:paraId="0F1182DE">
      <w:pPr>
        <w:spacing w:line="360" w:lineRule="auto"/>
        <w:rPr>
          <w:szCs w:val="21"/>
        </w:rPr>
      </w:pPr>
      <w:r>
        <w:rPr>
          <w:rFonts w:hint="eastAsia"/>
          <w:szCs w:val="21"/>
        </w:rPr>
        <w:t>6.1.6 关于安全文明施工费支付比例和支付期限的约定：</w:t>
      </w:r>
      <w:r>
        <w:rPr>
          <w:rFonts w:hint="eastAsia"/>
          <w:szCs w:val="21"/>
          <w:u w:val="single"/>
        </w:rPr>
        <w:t xml:space="preserve">                      </w:t>
      </w:r>
      <w:r>
        <w:rPr>
          <w:rFonts w:hint="eastAsia"/>
          <w:szCs w:val="21"/>
        </w:rPr>
        <w:t>。</w:t>
      </w:r>
    </w:p>
    <w:bookmarkEnd w:id="149"/>
    <w:bookmarkEnd w:id="150"/>
    <w:bookmarkEnd w:id="151"/>
    <w:bookmarkEnd w:id="152"/>
    <w:bookmarkEnd w:id="153"/>
    <w:bookmarkEnd w:id="154"/>
    <w:bookmarkEnd w:id="155"/>
    <w:p w14:paraId="35332031">
      <w:pPr>
        <w:adjustRightInd w:val="0"/>
        <w:spacing w:line="360" w:lineRule="auto"/>
        <w:rPr>
          <w:color w:val="000000"/>
          <w:szCs w:val="21"/>
        </w:rPr>
      </w:pPr>
      <w:bookmarkStart w:id="157" w:name="_Toc351203639"/>
      <w:r>
        <w:rPr>
          <w:rFonts w:hint="eastAsia"/>
          <w:color w:val="000000"/>
          <w:szCs w:val="21"/>
        </w:rPr>
        <w:t>7. 工期和进度</w:t>
      </w:r>
      <w:bookmarkEnd w:id="157"/>
    </w:p>
    <w:p w14:paraId="31D5946F">
      <w:pPr>
        <w:spacing w:line="360" w:lineRule="auto"/>
        <w:rPr>
          <w:color w:val="000000"/>
          <w:szCs w:val="21"/>
        </w:rPr>
      </w:pPr>
      <w:r>
        <w:rPr>
          <w:rFonts w:hint="eastAsia"/>
          <w:color w:val="000000"/>
          <w:szCs w:val="21"/>
        </w:rPr>
        <w:t>7.1 施工组织设计</w:t>
      </w:r>
    </w:p>
    <w:p w14:paraId="0CBD4A47">
      <w:pPr>
        <w:adjustRightInd w:val="0"/>
        <w:spacing w:line="360" w:lineRule="auto"/>
        <w:rPr>
          <w:color w:val="000000"/>
          <w:szCs w:val="21"/>
        </w:rPr>
      </w:pPr>
      <w:r>
        <w:rPr>
          <w:rFonts w:hint="eastAsia"/>
          <w:szCs w:val="21"/>
        </w:rPr>
        <w:t xml:space="preserve">7.1.1 </w:t>
      </w:r>
      <w:r>
        <w:rPr>
          <w:rFonts w:hint="eastAsia"/>
          <w:color w:val="000000"/>
          <w:szCs w:val="21"/>
        </w:rPr>
        <w:t>合同当事人约定的施工组织设计应包括的其他内容</w:t>
      </w:r>
      <w:r>
        <w:rPr>
          <w:rFonts w:hint="eastAsia"/>
          <w:szCs w:val="21"/>
          <w:u w:val="single"/>
        </w:rPr>
        <w:t xml:space="preserve">                        </w:t>
      </w:r>
      <w:r>
        <w:rPr>
          <w:rFonts w:hint="eastAsia"/>
          <w:szCs w:val="21"/>
        </w:rPr>
        <w:t>。</w:t>
      </w:r>
    </w:p>
    <w:p w14:paraId="425192C6">
      <w:pPr>
        <w:adjustRightInd w:val="0"/>
        <w:spacing w:line="360" w:lineRule="auto"/>
        <w:rPr>
          <w:color w:val="000000"/>
          <w:szCs w:val="21"/>
        </w:rPr>
      </w:pPr>
      <w:r>
        <w:rPr>
          <w:rFonts w:hint="eastAsia"/>
          <w:szCs w:val="21"/>
        </w:rPr>
        <w:t>7.1.2</w:t>
      </w:r>
      <w:r>
        <w:rPr>
          <w:rFonts w:hint="eastAsia"/>
          <w:color w:val="000000"/>
          <w:szCs w:val="21"/>
        </w:rPr>
        <w:t xml:space="preserve"> 施工组织设计的提交和修改</w:t>
      </w:r>
    </w:p>
    <w:p w14:paraId="645789E3">
      <w:pPr>
        <w:adjustRightInd w:val="0"/>
        <w:spacing w:line="360" w:lineRule="auto"/>
        <w:rPr>
          <w:szCs w:val="21"/>
        </w:rPr>
      </w:pPr>
      <w:r>
        <w:rPr>
          <w:rFonts w:hint="eastAsia"/>
          <w:color w:val="000000"/>
          <w:szCs w:val="21"/>
        </w:rPr>
        <w:t>承包人提交详细施工组织设计的期限的约定：</w:t>
      </w:r>
      <w:r>
        <w:rPr>
          <w:rFonts w:hint="eastAsia"/>
          <w:szCs w:val="21"/>
          <w:u w:val="single"/>
        </w:rPr>
        <w:t xml:space="preserve">                            </w:t>
      </w:r>
      <w:r>
        <w:rPr>
          <w:rFonts w:hint="eastAsia"/>
          <w:szCs w:val="21"/>
        </w:rPr>
        <w:t>。</w:t>
      </w:r>
    </w:p>
    <w:p w14:paraId="43C5C648">
      <w:pPr>
        <w:spacing w:line="360" w:lineRule="auto"/>
        <w:rPr>
          <w:color w:val="000000"/>
          <w:szCs w:val="21"/>
        </w:rPr>
      </w:pPr>
      <w:r>
        <w:rPr>
          <w:rFonts w:hint="eastAsia"/>
          <w:color w:val="000000"/>
          <w:szCs w:val="21"/>
        </w:rPr>
        <w:t>发包人和监理人在收到详细的施工组织设计后确认或提出修改意见的期限：</w:t>
      </w:r>
      <w:r>
        <w:rPr>
          <w:rFonts w:hint="eastAsia"/>
          <w:szCs w:val="21"/>
          <w:u w:val="single"/>
        </w:rPr>
        <w:t xml:space="preserve">         </w:t>
      </w:r>
      <w:r>
        <w:rPr>
          <w:rFonts w:hint="eastAsia"/>
          <w:szCs w:val="21"/>
        </w:rPr>
        <w:t>。</w:t>
      </w:r>
    </w:p>
    <w:p w14:paraId="5787C787">
      <w:pPr>
        <w:spacing w:line="360" w:lineRule="auto"/>
        <w:rPr>
          <w:color w:val="000000"/>
          <w:szCs w:val="21"/>
        </w:rPr>
      </w:pPr>
      <w:r>
        <w:rPr>
          <w:rFonts w:hint="eastAsia"/>
          <w:color w:val="000000"/>
          <w:szCs w:val="21"/>
        </w:rPr>
        <w:t>7</w:t>
      </w:r>
      <w:bookmarkStart w:id="158" w:name="_Toc304295541"/>
      <w:bookmarkStart w:id="159" w:name="_Toc300934966"/>
      <w:bookmarkStart w:id="160" w:name="_Toc297216173"/>
      <w:bookmarkStart w:id="161" w:name="_Toc297123514"/>
      <w:bookmarkStart w:id="162" w:name="_Toc312678005"/>
      <w:bookmarkStart w:id="163" w:name="_Toc312677479"/>
      <w:bookmarkStart w:id="164" w:name="_Toc303539123"/>
      <w:r>
        <w:rPr>
          <w:rFonts w:hint="eastAsia"/>
          <w:color w:val="000000"/>
          <w:szCs w:val="21"/>
        </w:rPr>
        <w:t>.2 施工进度计划</w:t>
      </w:r>
    </w:p>
    <w:p w14:paraId="03C5815B">
      <w:pPr>
        <w:spacing w:line="360" w:lineRule="auto"/>
        <w:rPr>
          <w:color w:val="000000"/>
          <w:szCs w:val="21"/>
        </w:rPr>
      </w:pPr>
      <w:r>
        <w:rPr>
          <w:rFonts w:hint="eastAsia"/>
          <w:color w:val="000000"/>
          <w:szCs w:val="21"/>
        </w:rPr>
        <w:t>7.2.2 施工进度计划的修订</w:t>
      </w:r>
    </w:p>
    <w:p w14:paraId="0B99420A">
      <w:pPr>
        <w:spacing w:line="360" w:lineRule="auto"/>
        <w:rPr>
          <w:color w:val="000000"/>
          <w:szCs w:val="21"/>
        </w:rPr>
      </w:pPr>
      <w:r>
        <w:rPr>
          <w:rFonts w:hint="eastAsia"/>
          <w:color w:val="000000"/>
          <w:szCs w:val="21"/>
        </w:rPr>
        <w:t>发包人和监理人在收到修订的施工进度计划后确认或提出修改意见的期限</w:t>
      </w:r>
      <w:r>
        <w:rPr>
          <w:rFonts w:hint="eastAsia"/>
          <w:color w:val="000000"/>
          <w:szCs w:val="21"/>
          <w:u w:val="single"/>
        </w:rPr>
        <w:t xml:space="preserve">          </w:t>
      </w:r>
      <w:r>
        <w:rPr>
          <w:rFonts w:hint="eastAsia"/>
          <w:color w:val="000000"/>
          <w:szCs w:val="21"/>
        </w:rPr>
        <w:t>。</w:t>
      </w:r>
    </w:p>
    <w:p w14:paraId="67472F43">
      <w:pPr>
        <w:spacing w:line="360" w:lineRule="auto"/>
        <w:rPr>
          <w:color w:val="000000"/>
          <w:szCs w:val="21"/>
        </w:rPr>
      </w:pPr>
      <w:r>
        <w:rPr>
          <w:rFonts w:hint="eastAsia"/>
          <w:color w:val="000000"/>
          <w:szCs w:val="21"/>
        </w:rPr>
        <w:t>7.3 开工</w:t>
      </w:r>
    </w:p>
    <w:p w14:paraId="62FB461E">
      <w:pPr>
        <w:spacing w:line="360" w:lineRule="auto"/>
        <w:rPr>
          <w:color w:val="000000"/>
          <w:szCs w:val="21"/>
        </w:rPr>
      </w:pPr>
      <w:r>
        <w:rPr>
          <w:rFonts w:hint="eastAsia"/>
          <w:color w:val="000000"/>
          <w:szCs w:val="21"/>
        </w:rPr>
        <w:t>7.3.1 开工准备</w:t>
      </w:r>
    </w:p>
    <w:p w14:paraId="012BED6A">
      <w:pPr>
        <w:spacing w:line="360" w:lineRule="auto"/>
        <w:rPr>
          <w:szCs w:val="21"/>
          <w:u w:val="single"/>
        </w:rPr>
      </w:pPr>
      <w:r>
        <w:rPr>
          <w:rFonts w:hint="eastAsia"/>
          <w:color w:val="000000"/>
          <w:szCs w:val="21"/>
        </w:rPr>
        <w:t>关于承包人提交工程开工报审表的限：</w:t>
      </w:r>
      <w:r>
        <w:rPr>
          <w:rFonts w:hint="eastAsia"/>
          <w:szCs w:val="21"/>
          <w:u w:val="single"/>
        </w:rPr>
        <w:t xml:space="preserve">                                      </w:t>
      </w:r>
      <w:r>
        <w:rPr>
          <w:rFonts w:hint="eastAsia"/>
          <w:szCs w:val="21"/>
        </w:rPr>
        <w:t>。</w:t>
      </w:r>
    </w:p>
    <w:p w14:paraId="6F01D949">
      <w:pPr>
        <w:spacing w:line="360" w:lineRule="auto"/>
        <w:rPr>
          <w:color w:val="000000"/>
          <w:szCs w:val="21"/>
        </w:rPr>
      </w:pPr>
      <w:r>
        <w:rPr>
          <w:rFonts w:hint="eastAsia"/>
          <w:color w:val="000000"/>
          <w:szCs w:val="21"/>
        </w:rPr>
        <w:t>关于发包人应完成的其他开工准备工作及限：</w:t>
      </w:r>
      <w:r>
        <w:rPr>
          <w:rFonts w:hint="eastAsia"/>
          <w:szCs w:val="21"/>
          <w:u w:val="single"/>
        </w:rPr>
        <w:t xml:space="preserve">                                </w:t>
      </w:r>
      <w:r>
        <w:rPr>
          <w:rFonts w:hint="eastAsia"/>
          <w:szCs w:val="21"/>
        </w:rPr>
        <w:t>。</w:t>
      </w:r>
    </w:p>
    <w:p w14:paraId="6F104F74">
      <w:pPr>
        <w:spacing w:line="360" w:lineRule="auto"/>
        <w:rPr>
          <w:szCs w:val="21"/>
        </w:rPr>
      </w:pPr>
      <w:r>
        <w:rPr>
          <w:rFonts w:hint="eastAsia"/>
          <w:color w:val="000000"/>
          <w:szCs w:val="21"/>
        </w:rPr>
        <w:t>关于承包人应完成的其他开工准备工作及限：</w:t>
      </w:r>
      <w:r>
        <w:rPr>
          <w:rFonts w:hint="eastAsia"/>
          <w:szCs w:val="21"/>
          <w:u w:val="single"/>
        </w:rPr>
        <w:t xml:space="preserve">                                 </w:t>
      </w:r>
      <w:r>
        <w:rPr>
          <w:rFonts w:hint="eastAsia"/>
          <w:szCs w:val="21"/>
        </w:rPr>
        <w:t>。</w:t>
      </w:r>
    </w:p>
    <w:p w14:paraId="683D480E">
      <w:pPr>
        <w:spacing w:line="360" w:lineRule="auto"/>
        <w:rPr>
          <w:color w:val="000000"/>
          <w:szCs w:val="21"/>
        </w:rPr>
      </w:pPr>
      <w:r>
        <w:rPr>
          <w:rFonts w:hint="eastAsia"/>
          <w:color w:val="000000"/>
          <w:szCs w:val="21"/>
        </w:rPr>
        <w:t>7.3.2开工通知</w:t>
      </w:r>
    </w:p>
    <w:p w14:paraId="520D2BF4">
      <w:pPr>
        <w:spacing w:line="360" w:lineRule="auto"/>
        <w:rPr>
          <w:color w:val="000000"/>
          <w:szCs w:val="21"/>
        </w:rPr>
      </w:pPr>
      <w:r>
        <w:rPr>
          <w:rFonts w:hint="eastAsia"/>
          <w:color w:val="000000"/>
          <w:szCs w:val="21"/>
        </w:rPr>
        <w:t>因发包人原因造成监理人未能在计划开工日期之日起</w:t>
      </w:r>
      <w:r>
        <w:rPr>
          <w:rFonts w:hint="eastAsia"/>
          <w:szCs w:val="21"/>
          <w:u w:val="single"/>
        </w:rPr>
        <w:t xml:space="preserve">     </w:t>
      </w:r>
      <w:r>
        <w:rPr>
          <w:rFonts w:hint="eastAsia"/>
          <w:color w:val="000000"/>
          <w:szCs w:val="21"/>
        </w:rPr>
        <w:t>天内发出开工通知的，承包人有权提出价格调整要求，或者解除合同。</w:t>
      </w:r>
    </w:p>
    <w:bookmarkEnd w:id="158"/>
    <w:bookmarkEnd w:id="159"/>
    <w:bookmarkEnd w:id="160"/>
    <w:bookmarkEnd w:id="161"/>
    <w:bookmarkEnd w:id="162"/>
    <w:bookmarkEnd w:id="163"/>
    <w:bookmarkEnd w:id="164"/>
    <w:p w14:paraId="2E1B3728">
      <w:pPr>
        <w:spacing w:line="360" w:lineRule="auto"/>
        <w:rPr>
          <w:color w:val="000000"/>
          <w:szCs w:val="21"/>
        </w:rPr>
      </w:pPr>
      <w:r>
        <w:rPr>
          <w:rFonts w:hint="eastAsia"/>
          <w:color w:val="000000"/>
          <w:szCs w:val="21"/>
        </w:rPr>
        <w:t>7.4 测量放线</w:t>
      </w:r>
    </w:p>
    <w:p w14:paraId="0076AA05">
      <w:pPr>
        <w:spacing w:line="360" w:lineRule="auto"/>
        <w:rPr>
          <w:szCs w:val="21"/>
          <w:u w:val="single"/>
        </w:rPr>
      </w:pPr>
      <w:r>
        <w:rPr>
          <w:rFonts w:hint="eastAsia"/>
          <w:szCs w:val="21"/>
        </w:rPr>
        <w:t>7.4.1发包人通过监理人向承包人提供测量基准点、基准线和水准点及其书面资料的期限：</w:t>
      </w:r>
      <w:r>
        <w:rPr>
          <w:rFonts w:hint="eastAsia"/>
          <w:szCs w:val="21"/>
          <w:u w:val="single"/>
        </w:rPr>
        <w:t xml:space="preserve">                                  </w:t>
      </w:r>
      <w:r>
        <w:rPr>
          <w:rFonts w:hint="eastAsia"/>
          <w:szCs w:val="21"/>
        </w:rPr>
        <w:t>。</w:t>
      </w:r>
    </w:p>
    <w:p w14:paraId="21CA7EB5">
      <w:pPr>
        <w:spacing w:line="360" w:lineRule="auto"/>
        <w:rPr>
          <w:color w:val="000000"/>
          <w:szCs w:val="21"/>
        </w:rPr>
      </w:pPr>
      <w:r>
        <w:rPr>
          <w:rFonts w:hint="eastAsia"/>
          <w:color w:val="000000"/>
          <w:szCs w:val="21"/>
        </w:rPr>
        <w:t>7</w:t>
      </w:r>
      <w:bookmarkStart w:id="165" w:name="_Toc304295546"/>
      <w:bookmarkStart w:id="166" w:name="_Toc297123516"/>
      <w:bookmarkStart w:id="167" w:name="_Toc312677484"/>
      <w:bookmarkStart w:id="168" w:name="_Toc297216175"/>
      <w:bookmarkStart w:id="169" w:name="_Toc312678010"/>
      <w:bookmarkStart w:id="170" w:name="_Toc303539125"/>
      <w:bookmarkStart w:id="171" w:name="_Toc300934968"/>
      <w:r>
        <w:rPr>
          <w:rFonts w:hint="eastAsia"/>
          <w:color w:val="000000"/>
          <w:szCs w:val="21"/>
        </w:rPr>
        <w:t>.5 工期延误</w:t>
      </w:r>
    </w:p>
    <w:bookmarkEnd w:id="165"/>
    <w:bookmarkEnd w:id="166"/>
    <w:bookmarkEnd w:id="167"/>
    <w:bookmarkEnd w:id="168"/>
    <w:bookmarkEnd w:id="169"/>
    <w:bookmarkEnd w:id="170"/>
    <w:bookmarkEnd w:id="171"/>
    <w:p w14:paraId="2E97B2E0">
      <w:pPr>
        <w:spacing w:line="360" w:lineRule="auto"/>
        <w:rPr>
          <w:szCs w:val="21"/>
        </w:rPr>
      </w:pPr>
      <w:r>
        <w:rPr>
          <w:rFonts w:hint="eastAsia"/>
          <w:szCs w:val="21"/>
        </w:rPr>
        <w:t>7.5.1 因发包人原因导致工期延误</w:t>
      </w:r>
    </w:p>
    <w:p w14:paraId="3F813570">
      <w:pPr>
        <w:spacing w:line="360" w:lineRule="auto"/>
        <w:rPr>
          <w:szCs w:val="21"/>
        </w:rPr>
      </w:pPr>
      <w:r>
        <w:rPr>
          <w:rFonts w:hint="eastAsia"/>
          <w:szCs w:val="21"/>
        </w:rPr>
        <w:t>（7）因发包人原因导致工期延误的其他情形：</w:t>
      </w:r>
      <w:r>
        <w:rPr>
          <w:rFonts w:hint="eastAsia"/>
          <w:szCs w:val="21"/>
          <w:u w:val="single"/>
        </w:rPr>
        <w:t xml:space="preserve">                          </w:t>
      </w:r>
      <w:r>
        <w:rPr>
          <w:rFonts w:hint="eastAsia"/>
          <w:szCs w:val="21"/>
        </w:rPr>
        <w:t>。</w:t>
      </w:r>
    </w:p>
    <w:p w14:paraId="3A415278">
      <w:pPr>
        <w:spacing w:line="360" w:lineRule="auto"/>
        <w:rPr>
          <w:szCs w:val="21"/>
        </w:rPr>
      </w:pPr>
      <w:r>
        <w:rPr>
          <w:rFonts w:hint="eastAsia"/>
          <w:szCs w:val="21"/>
        </w:rPr>
        <w:t>7</w:t>
      </w:r>
      <w:bookmarkStart w:id="172" w:name="_Toc318581169"/>
      <w:bookmarkStart w:id="173" w:name="_Toc312678012"/>
      <w:bookmarkStart w:id="174" w:name="_Toc312677486"/>
      <w:bookmarkStart w:id="175" w:name="_Toc303539127"/>
      <w:bookmarkStart w:id="176" w:name="_Toc297216177"/>
      <w:bookmarkStart w:id="177" w:name="_Toc300934970"/>
      <w:bookmarkStart w:id="178" w:name="_Toc297123518"/>
      <w:bookmarkStart w:id="179" w:name="_Toc304295548"/>
      <w:r>
        <w:rPr>
          <w:rFonts w:hint="eastAsia"/>
          <w:szCs w:val="21"/>
        </w:rPr>
        <w:t>.5.2 因承包人原因导致工期延误</w:t>
      </w:r>
    </w:p>
    <w:bookmarkEnd w:id="172"/>
    <w:bookmarkEnd w:id="173"/>
    <w:bookmarkEnd w:id="174"/>
    <w:p w14:paraId="1DCDCDF9">
      <w:pPr>
        <w:spacing w:line="360" w:lineRule="auto"/>
        <w:rPr>
          <w:szCs w:val="21"/>
        </w:rPr>
      </w:pPr>
      <w:r>
        <w:rPr>
          <w:rFonts w:hint="eastAsia"/>
          <w:szCs w:val="21"/>
        </w:rPr>
        <w:t>因</w:t>
      </w:r>
      <w:bookmarkStart w:id="180" w:name="_Toc312678013"/>
      <w:bookmarkStart w:id="181" w:name="_Toc312677487"/>
      <w:bookmarkStart w:id="182" w:name="_Toc318581170"/>
      <w:r>
        <w:rPr>
          <w:rFonts w:hint="eastAsia"/>
          <w:szCs w:val="21"/>
        </w:rPr>
        <w:t>承包人原因造成工期延误，逾期竣工违约金的计算方法为：</w:t>
      </w:r>
      <w:r>
        <w:rPr>
          <w:rFonts w:hint="eastAsia"/>
          <w:szCs w:val="21"/>
          <w:u w:val="single"/>
        </w:rPr>
        <w:t xml:space="preserve">                    </w:t>
      </w:r>
      <w:r>
        <w:rPr>
          <w:rFonts w:hint="eastAsia"/>
          <w:szCs w:val="21"/>
        </w:rPr>
        <w:t>。</w:t>
      </w:r>
      <w:bookmarkEnd w:id="175"/>
      <w:bookmarkEnd w:id="176"/>
      <w:bookmarkEnd w:id="177"/>
      <w:bookmarkEnd w:id="178"/>
      <w:bookmarkEnd w:id="179"/>
      <w:bookmarkEnd w:id="180"/>
      <w:bookmarkEnd w:id="181"/>
    </w:p>
    <w:bookmarkEnd w:id="182"/>
    <w:p w14:paraId="3732B8D5">
      <w:pPr>
        <w:spacing w:line="360" w:lineRule="auto"/>
        <w:rPr>
          <w:szCs w:val="21"/>
        </w:rPr>
      </w:pPr>
      <w:r>
        <w:rPr>
          <w:rFonts w:hint="eastAsia"/>
          <w:szCs w:val="21"/>
        </w:rPr>
        <w:t>因承包人原因造成工期延误，逾</w:t>
      </w:r>
      <w:bookmarkStart w:id="183" w:name="_Toc312678014"/>
      <w:bookmarkStart w:id="184" w:name="_Toc318581171"/>
      <w:r>
        <w:rPr>
          <w:rFonts w:hint="eastAsia"/>
          <w:szCs w:val="21"/>
        </w:rPr>
        <w:t>期竣工违约金的上限：</w:t>
      </w:r>
      <w:r>
        <w:rPr>
          <w:rFonts w:hint="eastAsia"/>
          <w:szCs w:val="21"/>
          <w:u w:val="single"/>
        </w:rPr>
        <w:t xml:space="preserve">                               </w:t>
      </w:r>
      <w:r>
        <w:rPr>
          <w:rFonts w:hint="eastAsia"/>
          <w:szCs w:val="21"/>
        </w:rPr>
        <w:t>。</w:t>
      </w:r>
    </w:p>
    <w:bookmarkEnd w:id="183"/>
    <w:bookmarkEnd w:id="184"/>
    <w:p w14:paraId="228341D1">
      <w:pPr>
        <w:spacing w:line="360" w:lineRule="auto"/>
        <w:rPr>
          <w:color w:val="000000"/>
          <w:szCs w:val="21"/>
        </w:rPr>
      </w:pPr>
      <w:r>
        <w:rPr>
          <w:rFonts w:hint="eastAsia"/>
          <w:color w:val="000000"/>
          <w:szCs w:val="21"/>
        </w:rPr>
        <w:t>7</w:t>
      </w:r>
      <w:bookmarkStart w:id="185" w:name="_Toc297216178"/>
      <w:bookmarkStart w:id="186" w:name="_Toc303539128"/>
      <w:bookmarkStart w:id="187" w:name="_Toc304295549"/>
      <w:bookmarkStart w:id="188" w:name="_Toc297123519"/>
      <w:bookmarkStart w:id="189" w:name="_Toc300934971"/>
      <w:bookmarkStart w:id="190" w:name="_Toc312678015"/>
      <w:r>
        <w:rPr>
          <w:rFonts w:hint="eastAsia"/>
          <w:color w:val="000000"/>
          <w:szCs w:val="21"/>
        </w:rPr>
        <w:t>.6 不</w:t>
      </w:r>
      <w:bookmarkEnd w:id="185"/>
      <w:bookmarkEnd w:id="186"/>
      <w:bookmarkEnd w:id="187"/>
      <w:bookmarkEnd w:id="188"/>
      <w:bookmarkEnd w:id="189"/>
      <w:bookmarkEnd w:id="190"/>
      <w:r>
        <w:rPr>
          <w:rFonts w:hint="eastAsia"/>
          <w:color w:val="000000"/>
          <w:szCs w:val="21"/>
        </w:rPr>
        <w:t>利物质条件</w:t>
      </w:r>
    </w:p>
    <w:p w14:paraId="2FE162F5">
      <w:pPr>
        <w:spacing w:line="360" w:lineRule="auto"/>
        <w:rPr>
          <w:szCs w:val="21"/>
        </w:rPr>
      </w:pPr>
      <w:bookmarkStart w:id="191" w:name="_Toc300934972"/>
      <w:bookmarkStart w:id="192" w:name="_Toc303539129"/>
      <w:bookmarkStart w:id="193" w:name="_Toc318581172"/>
      <w:bookmarkStart w:id="194" w:name="_Toc304295550"/>
      <w:bookmarkStart w:id="195" w:name="_Toc297216179"/>
      <w:bookmarkStart w:id="196" w:name="_Toc297123520"/>
      <w:bookmarkStart w:id="197" w:name="_Toc312678016"/>
      <w:r>
        <w:rPr>
          <w:rFonts w:hint="eastAsia"/>
          <w:szCs w:val="21"/>
        </w:rPr>
        <w:t>不利物质条件的其他情形和有关约定：</w:t>
      </w:r>
      <w:r>
        <w:rPr>
          <w:rFonts w:hint="eastAsia"/>
          <w:szCs w:val="21"/>
          <w:u w:val="single"/>
        </w:rPr>
        <w:t xml:space="preserve">                             </w:t>
      </w:r>
      <w:r>
        <w:rPr>
          <w:rFonts w:hint="eastAsia"/>
          <w:szCs w:val="21"/>
        </w:rPr>
        <w:t>。</w:t>
      </w:r>
      <w:bookmarkEnd w:id="191"/>
      <w:bookmarkEnd w:id="192"/>
      <w:bookmarkEnd w:id="193"/>
      <w:bookmarkEnd w:id="194"/>
      <w:bookmarkEnd w:id="195"/>
      <w:bookmarkEnd w:id="196"/>
      <w:bookmarkEnd w:id="197"/>
    </w:p>
    <w:p w14:paraId="463869B9">
      <w:pPr>
        <w:spacing w:line="360" w:lineRule="auto"/>
        <w:rPr>
          <w:color w:val="000000"/>
          <w:szCs w:val="21"/>
        </w:rPr>
      </w:pPr>
      <w:r>
        <w:rPr>
          <w:rFonts w:hint="eastAsia"/>
          <w:color w:val="000000"/>
          <w:szCs w:val="21"/>
        </w:rPr>
        <w:t>7</w:t>
      </w:r>
      <w:bookmarkStart w:id="198" w:name="_Toc297123521"/>
      <w:bookmarkStart w:id="199" w:name="_Toc300934973"/>
      <w:bookmarkStart w:id="200" w:name="_Toc297216180"/>
      <w:bookmarkStart w:id="201" w:name="_Toc303539130"/>
      <w:bookmarkStart w:id="202" w:name="_Toc304295551"/>
      <w:bookmarkStart w:id="203" w:name="_Toc312678017"/>
      <w:r>
        <w:rPr>
          <w:rFonts w:hint="eastAsia"/>
          <w:color w:val="000000"/>
          <w:szCs w:val="21"/>
        </w:rPr>
        <w:t>.7异常恶劣的气候条件</w:t>
      </w:r>
    </w:p>
    <w:bookmarkEnd w:id="198"/>
    <w:bookmarkEnd w:id="199"/>
    <w:bookmarkEnd w:id="200"/>
    <w:bookmarkEnd w:id="201"/>
    <w:bookmarkEnd w:id="202"/>
    <w:bookmarkEnd w:id="203"/>
    <w:p w14:paraId="056B0C29">
      <w:pPr>
        <w:spacing w:line="360" w:lineRule="auto"/>
        <w:rPr>
          <w:szCs w:val="21"/>
        </w:rPr>
      </w:pPr>
      <w:r>
        <w:rPr>
          <w:rFonts w:hint="eastAsia"/>
          <w:szCs w:val="21"/>
        </w:rPr>
        <w:t>发包人和承包人同意以下情形视为异常恶劣的气候条件：</w:t>
      </w:r>
    </w:p>
    <w:p w14:paraId="46F8EEBC">
      <w:pPr>
        <w:spacing w:line="360" w:lineRule="auto"/>
        <w:rPr>
          <w:szCs w:val="21"/>
        </w:rPr>
      </w:pPr>
      <w:r>
        <w:rPr>
          <w:rFonts w:hint="eastAsia"/>
          <w:szCs w:val="21"/>
        </w:rPr>
        <w:t>（1）</w:t>
      </w:r>
      <w:r>
        <w:rPr>
          <w:rFonts w:hint="eastAsia"/>
          <w:szCs w:val="21"/>
          <w:u w:val="single"/>
        </w:rPr>
        <w:t xml:space="preserve">                                           </w:t>
      </w:r>
      <w:r>
        <w:rPr>
          <w:rFonts w:hint="eastAsia"/>
          <w:szCs w:val="21"/>
        </w:rPr>
        <w:t>；</w:t>
      </w:r>
    </w:p>
    <w:p w14:paraId="0BEFFB61">
      <w:pPr>
        <w:spacing w:line="360" w:lineRule="auto"/>
        <w:rPr>
          <w:szCs w:val="21"/>
        </w:rPr>
      </w:pPr>
      <w:r>
        <w:rPr>
          <w:rFonts w:hint="eastAsia"/>
          <w:szCs w:val="21"/>
        </w:rPr>
        <w:t>（2）</w:t>
      </w:r>
      <w:r>
        <w:rPr>
          <w:rFonts w:hint="eastAsia"/>
          <w:szCs w:val="21"/>
          <w:u w:val="single"/>
        </w:rPr>
        <w:t xml:space="preserve">                                           </w:t>
      </w:r>
      <w:r>
        <w:rPr>
          <w:rFonts w:hint="eastAsia"/>
          <w:szCs w:val="21"/>
        </w:rPr>
        <w:t>；</w:t>
      </w:r>
    </w:p>
    <w:p w14:paraId="7F2AA32D">
      <w:pPr>
        <w:spacing w:line="360" w:lineRule="auto"/>
        <w:rPr>
          <w:szCs w:val="21"/>
        </w:rPr>
      </w:pPr>
      <w:r>
        <w:rPr>
          <w:rFonts w:hint="eastAsia"/>
          <w:szCs w:val="21"/>
        </w:rPr>
        <w:t>（3）</w:t>
      </w:r>
      <w:r>
        <w:rPr>
          <w:rFonts w:hint="eastAsia"/>
          <w:szCs w:val="21"/>
          <w:u w:val="single"/>
        </w:rPr>
        <w:t xml:space="preserve">                                           </w:t>
      </w:r>
      <w:r>
        <w:rPr>
          <w:rFonts w:hint="eastAsia"/>
          <w:szCs w:val="21"/>
        </w:rPr>
        <w:t>。</w:t>
      </w:r>
    </w:p>
    <w:p w14:paraId="1CB6B25B">
      <w:pPr>
        <w:spacing w:line="360" w:lineRule="auto"/>
        <w:rPr>
          <w:color w:val="000000"/>
          <w:szCs w:val="21"/>
        </w:rPr>
      </w:pPr>
      <w:r>
        <w:rPr>
          <w:rFonts w:hint="eastAsia"/>
          <w:color w:val="000000"/>
          <w:szCs w:val="21"/>
        </w:rPr>
        <w:t>7.9 提前竣工的奖励</w:t>
      </w:r>
    </w:p>
    <w:p w14:paraId="38B3F5AF">
      <w:pPr>
        <w:spacing w:line="360" w:lineRule="auto"/>
        <w:rPr>
          <w:szCs w:val="21"/>
        </w:rPr>
      </w:pPr>
      <w:r>
        <w:rPr>
          <w:rFonts w:hint="eastAsia"/>
          <w:szCs w:val="21"/>
        </w:rPr>
        <w:t>7.9.2提前竣工的奖励：</w:t>
      </w:r>
      <w:r>
        <w:rPr>
          <w:rFonts w:hint="eastAsia"/>
          <w:szCs w:val="21"/>
          <w:u w:val="single"/>
        </w:rPr>
        <w:t xml:space="preserve">                                </w:t>
      </w:r>
      <w:r>
        <w:rPr>
          <w:rFonts w:hint="eastAsia"/>
          <w:szCs w:val="21"/>
        </w:rPr>
        <w:t>。</w:t>
      </w:r>
    </w:p>
    <w:p w14:paraId="2A3E191D">
      <w:pPr>
        <w:adjustRightInd w:val="0"/>
        <w:spacing w:line="360" w:lineRule="auto"/>
        <w:rPr>
          <w:color w:val="000000"/>
          <w:szCs w:val="21"/>
        </w:rPr>
      </w:pPr>
      <w:bookmarkStart w:id="204" w:name="_Toc351203640"/>
      <w:r>
        <w:rPr>
          <w:rFonts w:hint="eastAsia"/>
          <w:color w:val="000000"/>
          <w:szCs w:val="21"/>
        </w:rPr>
        <w:t>8. 材料与设备</w:t>
      </w:r>
      <w:bookmarkEnd w:id="204"/>
    </w:p>
    <w:bookmarkEnd w:id="139"/>
    <w:bookmarkEnd w:id="140"/>
    <w:bookmarkEnd w:id="141"/>
    <w:bookmarkEnd w:id="142"/>
    <w:bookmarkEnd w:id="143"/>
    <w:bookmarkEnd w:id="144"/>
    <w:bookmarkEnd w:id="145"/>
    <w:bookmarkEnd w:id="146"/>
    <w:bookmarkEnd w:id="147"/>
    <w:bookmarkEnd w:id="148"/>
    <w:p w14:paraId="7632DDB9">
      <w:pPr>
        <w:spacing w:line="360" w:lineRule="auto"/>
        <w:rPr>
          <w:color w:val="000000"/>
          <w:szCs w:val="21"/>
        </w:rPr>
      </w:pPr>
      <w:r>
        <w:rPr>
          <w:rFonts w:hint="eastAsia"/>
          <w:color w:val="000000"/>
          <w:szCs w:val="21"/>
        </w:rPr>
        <w:t>8</w:t>
      </w:r>
      <w:bookmarkStart w:id="205" w:name="_Toc296890995"/>
      <w:bookmarkStart w:id="206" w:name="_Toc297123527"/>
      <w:bookmarkStart w:id="207" w:name="_Toc300934979"/>
      <w:bookmarkStart w:id="208" w:name="_Toc297048353"/>
      <w:bookmarkStart w:id="209" w:name="_Toc297120467"/>
      <w:bookmarkStart w:id="210" w:name="_Toc296503167"/>
      <w:bookmarkStart w:id="211" w:name="_Toc296347166"/>
      <w:bookmarkStart w:id="212" w:name="_Toc296944506"/>
      <w:bookmarkStart w:id="213" w:name="_Toc292559877"/>
      <w:bookmarkStart w:id="214" w:name="_Toc296891207"/>
      <w:bookmarkStart w:id="215" w:name="_Toc296346668"/>
      <w:bookmarkStart w:id="216" w:name="_Toc297216186"/>
      <w:bookmarkStart w:id="217" w:name="_Toc304295556"/>
      <w:bookmarkStart w:id="218" w:name="_Toc292559372"/>
      <w:bookmarkStart w:id="219" w:name="_Toc280868654"/>
      <w:bookmarkStart w:id="220" w:name="_Toc312677493"/>
      <w:bookmarkStart w:id="221" w:name="_Toc312678019"/>
      <w:bookmarkStart w:id="222" w:name="_Toc303539136"/>
      <w:bookmarkStart w:id="223" w:name="_Toc267251424"/>
      <w:bookmarkStart w:id="224" w:name="_Toc280868655"/>
      <w:bookmarkStart w:id="225" w:name="_Toc280868656"/>
      <w:r>
        <w:rPr>
          <w:rFonts w:hint="eastAsia"/>
          <w:color w:val="000000"/>
          <w:szCs w:val="21"/>
        </w:rPr>
        <w:t>.4材料与工程设备的保管与使用</w:t>
      </w:r>
    </w:p>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p w14:paraId="4A6BF3BA">
      <w:pPr>
        <w:spacing w:line="360" w:lineRule="auto"/>
        <w:rPr>
          <w:szCs w:val="21"/>
        </w:rPr>
      </w:pPr>
      <w:r>
        <w:rPr>
          <w:rFonts w:hint="eastAsia"/>
          <w:szCs w:val="21"/>
        </w:rPr>
        <w:t>8</w:t>
      </w:r>
      <w:bookmarkStart w:id="226" w:name="_Toc292559373"/>
      <w:bookmarkStart w:id="227" w:name="_Toc292559878"/>
      <w:bookmarkStart w:id="228" w:name="_Toc318581173"/>
      <w:bookmarkStart w:id="229" w:name="_Toc296346669"/>
      <w:bookmarkStart w:id="230" w:name="_Toc296347167"/>
      <w:bookmarkStart w:id="231" w:name="_Toc304295557"/>
      <w:bookmarkStart w:id="232" w:name="_Toc296503168"/>
      <w:bookmarkStart w:id="233" w:name="_Toc303539137"/>
      <w:bookmarkStart w:id="234" w:name="_Toc297048354"/>
      <w:bookmarkStart w:id="235" w:name="_Toc312677494"/>
      <w:bookmarkStart w:id="236" w:name="_Toc296944507"/>
      <w:bookmarkStart w:id="237" w:name="_Toc297120468"/>
      <w:bookmarkStart w:id="238" w:name="_Toc296891208"/>
      <w:bookmarkStart w:id="239" w:name="_Toc312678020"/>
      <w:bookmarkStart w:id="240" w:name="_Toc297216187"/>
      <w:bookmarkStart w:id="241" w:name="_Toc300934980"/>
      <w:bookmarkStart w:id="242" w:name="_Toc297123528"/>
      <w:bookmarkStart w:id="243" w:name="_Toc296890996"/>
      <w:r>
        <w:rPr>
          <w:rFonts w:hint="eastAsia"/>
          <w:szCs w:val="21"/>
        </w:rPr>
        <w:t>.4.1发包人供应的材料设备的保管费用的承担：</w:t>
      </w:r>
      <w:r>
        <w:rPr>
          <w:rFonts w:hint="eastAsia"/>
          <w:szCs w:val="21"/>
          <w:u w:val="single"/>
        </w:rPr>
        <w:t xml:space="preserve">                           </w:t>
      </w:r>
      <w:r>
        <w:rPr>
          <w:rFonts w:hint="eastAsia"/>
          <w:szCs w:val="21"/>
        </w:rPr>
        <w:t>。</w:t>
      </w:r>
      <w:bookmarkEnd w:id="226"/>
      <w:bookmarkEnd w:id="227"/>
    </w:p>
    <w:p w14:paraId="6ACDB9B4">
      <w:pPr>
        <w:spacing w:line="360" w:lineRule="auto"/>
        <w:rPr>
          <w:color w:val="000000"/>
          <w:szCs w:val="21"/>
        </w:rPr>
      </w:pPr>
      <w:r>
        <w:rPr>
          <w:rFonts w:hint="eastAsia"/>
          <w:color w:val="000000"/>
          <w:szCs w:val="21"/>
        </w:rPr>
        <w:t>8.6 样品</w:t>
      </w:r>
    </w:p>
    <w:p w14:paraId="34F86EA0">
      <w:pPr>
        <w:adjustRightInd w:val="0"/>
        <w:spacing w:line="360" w:lineRule="auto"/>
        <w:rPr>
          <w:color w:val="000000"/>
          <w:szCs w:val="21"/>
        </w:rPr>
      </w:pPr>
      <w:r>
        <w:rPr>
          <w:rFonts w:hint="eastAsia"/>
          <w:color w:val="000000"/>
          <w:szCs w:val="21"/>
        </w:rPr>
        <w:t>8.6.1</w:t>
      </w:r>
      <w:r>
        <w:rPr>
          <w:rFonts w:hint="eastAsia"/>
          <w:color w:val="000000"/>
          <w:szCs w:val="21"/>
        </w:rPr>
        <w:tab/>
      </w:r>
      <w:r>
        <w:rPr>
          <w:rFonts w:hint="eastAsia"/>
          <w:color w:val="000000"/>
          <w:szCs w:val="21"/>
        </w:rPr>
        <w:t>样品的报送与封存</w:t>
      </w:r>
    </w:p>
    <w:p w14:paraId="29824536">
      <w:pPr>
        <w:adjustRightInd w:val="0"/>
        <w:spacing w:line="360" w:lineRule="auto"/>
        <w:rPr>
          <w:szCs w:val="21"/>
        </w:rPr>
      </w:pPr>
      <w:r>
        <w:rPr>
          <w:rFonts w:hint="eastAsia"/>
          <w:color w:val="000000"/>
          <w:szCs w:val="21"/>
        </w:rPr>
        <w:t>需要承包人报送样品的材料或工程设备，样品的种类、名称、规格、数量要求：</w:t>
      </w:r>
      <w:r>
        <w:rPr>
          <w:rFonts w:hint="eastAsia"/>
          <w:szCs w:val="21"/>
          <w:u w:val="single"/>
        </w:rPr>
        <w:t xml:space="preserve">             </w:t>
      </w:r>
      <w:r>
        <w:rPr>
          <w:rFonts w:hint="eastAsia"/>
          <w:szCs w:val="21"/>
        </w:rPr>
        <w:t>。</w:t>
      </w:r>
    </w:p>
    <w:p w14:paraId="609617AE">
      <w:pPr>
        <w:spacing w:line="360" w:lineRule="auto"/>
        <w:rPr>
          <w:color w:val="000000"/>
          <w:szCs w:val="21"/>
        </w:rPr>
      </w:pPr>
      <w:r>
        <w:rPr>
          <w:rFonts w:hint="eastAsia"/>
          <w:color w:val="000000"/>
          <w:szCs w:val="21"/>
        </w:rPr>
        <w:t>8.8 施工设备和临时设施</w:t>
      </w:r>
    </w:p>
    <w:p w14:paraId="6B35A42E">
      <w:pPr>
        <w:adjustRightInd w:val="0"/>
        <w:spacing w:line="360" w:lineRule="auto"/>
        <w:rPr>
          <w:szCs w:val="21"/>
        </w:rPr>
      </w:pPr>
      <w:r>
        <w:rPr>
          <w:rFonts w:hint="eastAsia"/>
          <w:szCs w:val="21"/>
        </w:rPr>
        <w:t>8.8.1 承包人提供的施工设备和临时设施</w:t>
      </w:r>
    </w:p>
    <w:p w14:paraId="39A41E92">
      <w:pPr>
        <w:adjustRightInd w:val="0"/>
        <w:spacing w:line="360" w:lineRule="auto"/>
        <w:rPr>
          <w:szCs w:val="21"/>
        </w:rPr>
      </w:pPr>
      <w:r>
        <w:rPr>
          <w:rFonts w:hint="eastAsia"/>
          <w:szCs w:val="21"/>
        </w:rPr>
        <w:t>关于修建临时设施费用承担的约定：</w:t>
      </w:r>
      <w:r>
        <w:rPr>
          <w:rFonts w:hint="eastAsia"/>
          <w:szCs w:val="21"/>
          <w:u w:val="single"/>
        </w:rPr>
        <w:t xml:space="preserve">                             </w:t>
      </w:r>
      <w:r>
        <w:rPr>
          <w:rFonts w:hint="eastAsia"/>
          <w:szCs w:val="21"/>
        </w:rPr>
        <w:t>。</w:t>
      </w:r>
    </w:p>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p w14:paraId="79A19491">
      <w:pPr>
        <w:adjustRightInd w:val="0"/>
        <w:spacing w:line="360" w:lineRule="auto"/>
        <w:rPr>
          <w:color w:val="000000"/>
          <w:szCs w:val="21"/>
        </w:rPr>
      </w:pPr>
      <w:bookmarkStart w:id="244" w:name="_Toc351203641"/>
      <w:r>
        <w:rPr>
          <w:rFonts w:hint="eastAsia"/>
          <w:color w:val="000000"/>
          <w:szCs w:val="21"/>
        </w:rPr>
        <w:t>9</w:t>
      </w:r>
      <w:bookmarkEnd w:id="223"/>
      <w:bookmarkEnd w:id="224"/>
      <w:bookmarkEnd w:id="225"/>
      <w:bookmarkStart w:id="245" w:name="_Toc304295559"/>
      <w:bookmarkStart w:id="246" w:name="_Toc312677495"/>
      <w:bookmarkStart w:id="247" w:name="_Toc297123533"/>
      <w:bookmarkStart w:id="248" w:name="_Toc300934982"/>
      <w:bookmarkStart w:id="249" w:name="_Toc312678021"/>
      <w:bookmarkStart w:id="250" w:name="_Toc303539139"/>
      <w:bookmarkStart w:id="251" w:name="_Toc297216192"/>
      <w:r>
        <w:rPr>
          <w:rFonts w:hint="eastAsia"/>
          <w:color w:val="000000"/>
          <w:szCs w:val="21"/>
        </w:rPr>
        <w:t>. 试验与检验</w:t>
      </w:r>
      <w:bookmarkEnd w:id="244"/>
    </w:p>
    <w:bookmarkEnd w:id="245"/>
    <w:bookmarkEnd w:id="246"/>
    <w:bookmarkEnd w:id="247"/>
    <w:bookmarkEnd w:id="248"/>
    <w:bookmarkEnd w:id="249"/>
    <w:bookmarkEnd w:id="250"/>
    <w:bookmarkEnd w:id="251"/>
    <w:p w14:paraId="55A12B7C">
      <w:pPr>
        <w:spacing w:line="360" w:lineRule="auto"/>
        <w:rPr>
          <w:color w:val="000000"/>
          <w:szCs w:val="21"/>
        </w:rPr>
      </w:pPr>
      <w:r>
        <w:rPr>
          <w:rFonts w:hint="eastAsia"/>
          <w:color w:val="000000"/>
          <w:szCs w:val="21"/>
        </w:rPr>
        <w:t>9</w:t>
      </w:r>
      <w:bookmarkStart w:id="252" w:name="_Toc300934983"/>
      <w:bookmarkStart w:id="253" w:name="_Toc304295560"/>
      <w:bookmarkStart w:id="254" w:name="_Toc312678022"/>
      <w:bookmarkStart w:id="255" w:name="_Toc297216193"/>
      <w:bookmarkStart w:id="256" w:name="_Toc297123534"/>
      <w:bookmarkStart w:id="257" w:name="_Toc312677496"/>
      <w:bookmarkStart w:id="258" w:name="_Toc303539140"/>
      <w:r>
        <w:rPr>
          <w:rFonts w:hint="eastAsia"/>
          <w:color w:val="000000"/>
          <w:szCs w:val="21"/>
        </w:rPr>
        <w:t>.1试验设备与试验人员</w:t>
      </w:r>
    </w:p>
    <w:bookmarkEnd w:id="252"/>
    <w:bookmarkEnd w:id="253"/>
    <w:bookmarkEnd w:id="254"/>
    <w:bookmarkEnd w:id="255"/>
    <w:bookmarkEnd w:id="256"/>
    <w:bookmarkEnd w:id="257"/>
    <w:bookmarkEnd w:id="258"/>
    <w:p w14:paraId="6A4FC624">
      <w:pPr>
        <w:spacing w:line="360" w:lineRule="auto"/>
        <w:rPr>
          <w:szCs w:val="21"/>
        </w:rPr>
      </w:pPr>
      <w:r>
        <w:rPr>
          <w:rFonts w:hint="eastAsia"/>
          <w:szCs w:val="21"/>
        </w:rPr>
        <w:t>9</w:t>
      </w:r>
      <w:bookmarkStart w:id="259" w:name="_Toc304295561"/>
      <w:bookmarkStart w:id="260" w:name="_Toc312677497"/>
      <w:bookmarkStart w:id="261" w:name="_Toc303539141"/>
      <w:bookmarkStart w:id="262" w:name="_Toc312678023"/>
      <w:bookmarkStart w:id="263" w:name="_Toc297123535"/>
      <w:bookmarkStart w:id="264" w:name="_Toc300934984"/>
      <w:bookmarkStart w:id="265" w:name="_Toc297216194"/>
      <w:r>
        <w:rPr>
          <w:rFonts w:hint="eastAsia"/>
          <w:szCs w:val="21"/>
        </w:rPr>
        <w:t>.1.2 试验设备</w:t>
      </w:r>
    </w:p>
    <w:p w14:paraId="2038C591">
      <w:pPr>
        <w:spacing w:line="360" w:lineRule="auto"/>
        <w:rPr>
          <w:szCs w:val="21"/>
        </w:rPr>
      </w:pPr>
      <w:r>
        <w:rPr>
          <w:rFonts w:hint="eastAsia"/>
          <w:szCs w:val="21"/>
        </w:rPr>
        <w:t>施工现场需要配置的试验场所：</w:t>
      </w:r>
      <w:bookmarkEnd w:id="259"/>
      <w:bookmarkEnd w:id="260"/>
      <w:bookmarkEnd w:id="261"/>
      <w:bookmarkEnd w:id="262"/>
      <w:bookmarkEnd w:id="263"/>
      <w:bookmarkEnd w:id="264"/>
      <w:bookmarkEnd w:id="265"/>
      <w:r>
        <w:rPr>
          <w:rFonts w:hint="eastAsia"/>
          <w:szCs w:val="21"/>
          <w:u w:val="single"/>
        </w:rPr>
        <w:t xml:space="preserve">                                 </w:t>
      </w:r>
      <w:r>
        <w:rPr>
          <w:rFonts w:hint="eastAsia"/>
          <w:szCs w:val="21"/>
        </w:rPr>
        <w:t xml:space="preserve">。 </w:t>
      </w:r>
    </w:p>
    <w:p w14:paraId="05C147D7">
      <w:pPr>
        <w:spacing w:line="360" w:lineRule="auto"/>
        <w:rPr>
          <w:szCs w:val="21"/>
        </w:rPr>
      </w:pPr>
      <w:r>
        <w:rPr>
          <w:rFonts w:hint="eastAsia"/>
          <w:szCs w:val="21"/>
        </w:rPr>
        <w:t>施工现场需要配备的试验设备：</w:t>
      </w:r>
      <w:r>
        <w:rPr>
          <w:rFonts w:hint="eastAsia"/>
          <w:szCs w:val="21"/>
          <w:u w:val="single"/>
        </w:rPr>
        <w:t xml:space="preserve">                                    </w:t>
      </w:r>
      <w:r>
        <w:rPr>
          <w:rFonts w:hint="eastAsia"/>
          <w:szCs w:val="21"/>
        </w:rPr>
        <w:t>。</w:t>
      </w:r>
    </w:p>
    <w:p w14:paraId="351CB2F3">
      <w:pPr>
        <w:spacing w:line="360" w:lineRule="auto"/>
        <w:rPr>
          <w:szCs w:val="21"/>
        </w:rPr>
      </w:pPr>
      <w:r>
        <w:rPr>
          <w:rFonts w:hint="eastAsia"/>
          <w:szCs w:val="21"/>
        </w:rPr>
        <w:t>施工现场需要具备的其他试验条件：</w:t>
      </w:r>
      <w:r>
        <w:rPr>
          <w:rFonts w:hint="eastAsia"/>
          <w:szCs w:val="21"/>
          <w:u w:val="single"/>
        </w:rPr>
        <w:t xml:space="preserve">                                   </w:t>
      </w:r>
      <w:r>
        <w:rPr>
          <w:rFonts w:hint="eastAsia"/>
          <w:szCs w:val="21"/>
        </w:rPr>
        <w:t>。</w:t>
      </w:r>
    </w:p>
    <w:p w14:paraId="6DB2AFCC">
      <w:pPr>
        <w:spacing w:line="360" w:lineRule="auto"/>
        <w:rPr>
          <w:color w:val="000000"/>
          <w:szCs w:val="21"/>
        </w:rPr>
      </w:pPr>
      <w:r>
        <w:rPr>
          <w:rFonts w:hint="eastAsia"/>
          <w:color w:val="000000"/>
          <w:szCs w:val="21"/>
        </w:rPr>
        <w:t xml:space="preserve">9.4 现场工艺试验 </w:t>
      </w:r>
    </w:p>
    <w:p w14:paraId="14B8708C">
      <w:pPr>
        <w:spacing w:line="360" w:lineRule="auto"/>
        <w:rPr>
          <w:szCs w:val="21"/>
        </w:rPr>
      </w:pPr>
      <w:r>
        <w:rPr>
          <w:rFonts w:hint="eastAsia"/>
          <w:szCs w:val="21"/>
        </w:rPr>
        <w:t>现场工艺试验的有关约定：</w:t>
      </w:r>
      <w:r>
        <w:rPr>
          <w:rFonts w:hint="eastAsia"/>
          <w:szCs w:val="21"/>
          <w:u w:val="single"/>
        </w:rPr>
        <w:t xml:space="preserve">                                        </w:t>
      </w:r>
      <w:r>
        <w:rPr>
          <w:rFonts w:hint="eastAsia"/>
          <w:szCs w:val="21"/>
        </w:rPr>
        <w:t>。</w:t>
      </w:r>
    </w:p>
    <w:p w14:paraId="7CD321D1">
      <w:pPr>
        <w:adjustRightInd w:val="0"/>
        <w:spacing w:line="360" w:lineRule="auto"/>
        <w:rPr>
          <w:color w:val="000000"/>
          <w:szCs w:val="21"/>
        </w:rPr>
      </w:pPr>
      <w:bookmarkStart w:id="266" w:name="_Toc351203642"/>
      <w:r>
        <w:rPr>
          <w:rFonts w:hint="eastAsia"/>
          <w:color w:val="000000"/>
          <w:szCs w:val="21"/>
        </w:rPr>
        <w:t>1</w:t>
      </w:r>
      <w:bookmarkStart w:id="267" w:name="_Toc292559903"/>
      <w:bookmarkStart w:id="268" w:name="_Toc296346694"/>
      <w:bookmarkStart w:id="269" w:name="_Toc296891021"/>
      <w:bookmarkStart w:id="270" w:name="_Toc296891233"/>
      <w:bookmarkStart w:id="271" w:name="_Toc296503193"/>
      <w:bookmarkStart w:id="272" w:name="_Toc297048379"/>
      <w:bookmarkStart w:id="273" w:name="_Toc303539146"/>
      <w:bookmarkStart w:id="274" w:name="_Toc297123540"/>
      <w:bookmarkStart w:id="275" w:name="_Toc304295566"/>
      <w:bookmarkStart w:id="276" w:name="_Toc296347192"/>
      <w:bookmarkStart w:id="277" w:name="_Toc297120493"/>
      <w:bookmarkStart w:id="278" w:name="_Toc296944532"/>
      <w:bookmarkStart w:id="279" w:name="_Toc297216199"/>
      <w:bookmarkStart w:id="280" w:name="_Toc300934989"/>
      <w:bookmarkStart w:id="281" w:name="_Toc292559398"/>
      <w:bookmarkStart w:id="282" w:name="_Toc312678025"/>
      <w:bookmarkStart w:id="283" w:name="_Toc312677499"/>
      <w:bookmarkStart w:id="284" w:name="_Toc267251440"/>
      <w:bookmarkStart w:id="285" w:name="_Toc267251433"/>
      <w:bookmarkStart w:id="286" w:name="_Toc267251435"/>
      <w:bookmarkStart w:id="287" w:name="_Toc267251437"/>
      <w:bookmarkStart w:id="288" w:name="_Toc267251439"/>
      <w:bookmarkStart w:id="289" w:name="_Toc267251441"/>
      <w:bookmarkStart w:id="290" w:name="_Toc267251442"/>
      <w:r>
        <w:rPr>
          <w:rFonts w:hint="eastAsia"/>
          <w:color w:val="000000"/>
          <w:szCs w:val="21"/>
        </w:rPr>
        <w:t>0. 变更</w:t>
      </w:r>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p>
    <w:bookmarkEnd w:id="282"/>
    <w:bookmarkEnd w:id="283"/>
    <w:p w14:paraId="621F3242">
      <w:pPr>
        <w:spacing w:line="360" w:lineRule="auto"/>
        <w:rPr>
          <w:color w:val="000000"/>
          <w:szCs w:val="21"/>
        </w:rPr>
      </w:pPr>
      <w:r>
        <w:rPr>
          <w:rFonts w:hint="eastAsia"/>
          <w:color w:val="000000"/>
          <w:szCs w:val="21"/>
        </w:rPr>
        <w:t>1</w:t>
      </w:r>
      <w:bookmarkStart w:id="291" w:name="_Toc296891234"/>
      <w:bookmarkStart w:id="292" w:name="_Toc297048380"/>
      <w:bookmarkStart w:id="293" w:name="_Toc292559399"/>
      <w:bookmarkStart w:id="294" w:name="_Toc312678026"/>
      <w:bookmarkStart w:id="295" w:name="_Toc296944533"/>
      <w:bookmarkStart w:id="296" w:name="_Toc296891022"/>
      <w:bookmarkStart w:id="297" w:name="_Toc297123541"/>
      <w:bookmarkStart w:id="298" w:name="_Toc297216200"/>
      <w:bookmarkStart w:id="299" w:name="_Toc297120494"/>
      <w:bookmarkStart w:id="300" w:name="_Toc296347193"/>
      <w:bookmarkStart w:id="301" w:name="_Toc296503194"/>
      <w:bookmarkStart w:id="302" w:name="_Toc304295567"/>
      <w:bookmarkStart w:id="303" w:name="_Toc300934990"/>
      <w:bookmarkStart w:id="304" w:name="_Toc296346695"/>
      <w:bookmarkStart w:id="305" w:name="_Toc292559904"/>
      <w:bookmarkStart w:id="306" w:name="_Toc303539147"/>
      <w:bookmarkStart w:id="307" w:name="_Toc312677500"/>
      <w:r>
        <w:rPr>
          <w:rFonts w:hint="eastAsia"/>
          <w:color w:val="000000"/>
          <w:szCs w:val="21"/>
        </w:rPr>
        <w:t>0.1变更的范围</w:t>
      </w:r>
    </w:p>
    <w:p w14:paraId="2ABB1709">
      <w:pPr>
        <w:spacing w:line="360" w:lineRule="auto"/>
        <w:rPr>
          <w:color w:val="000000"/>
          <w:szCs w:val="21"/>
        </w:rPr>
      </w:pPr>
      <w:r>
        <w:rPr>
          <w:rFonts w:hint="eastAsia"/>
          <w:color w:val="000000"/>
          <w:szCs w:val="21"/>
        </w:rPr>
        <w:t>关于变更的范围的约定：</w:t>
      </w:r>
      <w:r>
        <w:rPr>
          <w:rFonts w:hint="eastAsia"/>
          <w:color w:val="000000"/>
          <w:szCs w:val="21"/>
          <w:u w:val="single"/>
        </w:rPr>
        <w:t xml:space="preserve">                                              </w:t>
      </w:r>
      <w:r>
        <w:rPr>
          <w:rFonts w:hint="eastAsia"/>
          <w:color w:val="000000"/>
          <w:szCs w:val="21"/>
        </w:rPr>
        <w:t>。</w:t>
      </w:r>
    </w:p>
    <w:p w14:paraId="0FDAF56F">
      <w:pPr>
        <w:spacing w:line="360" w:lineRule="auto"/>
        <w:rPr>
          <w:color w:val="000000"/>
          <w:szCs w:val="21"/>
        </w:rPr>
      </w:pPr>
      <w:r>
        <w:rPr>
          <w:rFonts w:hint="eastAsia"/>
          <w:color w:val="000000"/>
          <w:szCs w:val="21"/>
        </w:rPr>
        <w:t>10.4 变更估价</w:t>
      </w:r>
    </w:p>
    <w:p w14:paraId="1E83307A">
      <w:pPr>
        <w:spacing w:line="360" w:lineRule="auto"/>
        <w:rPr>
          <w:szCs w:val="21"/>
        </w:rPr>
      </w:pPr>
      <w:r>
        <w:rPr>
          <w:rFonts w:hint="eastAsia"/>
          <w:szCs w:val="21"/>
        </w:rPr>
        <w:t>10.4.1 变更估价原则</w:t>
      </w:r>
    </w:p>
    <w:p w14:paraId="1729DD76">
      <w:pPr>
        <w:spacing w:line="360" w:lineRule="auto"/>
        <w:rPr>
          <w:color w:val="000000"/>
          <w:szCs w:val="21"/>
          <w:u w:val="single"/>
        </w:rPr>
      </w:pPr>
      <w:r>
        <w:rPr>
          <w:rFonts w:hint="eastAsia"/>
          <w:color w:val="000000"/>
          <w:szCs w:val="21"/>
        </w:rPr>
        <w:t xml:space="preserve">关于变更估价的约定: </w:t>
      </w:r>
      <w:r>
        <w:rPr>
          <w:rFonts w:hint="eastAsia"/>
          <w:color w:val="000000"/>
          <w:szCs w:val="21"/>
          <w:u w:val="single"/>
        </w:rPr>
        <w:t xml:space="preserve">                                                  </w:t>
      </w:r>
      <w:r>
        <w:rPr>
          <w:rFonts w:hint="eastAsia"/>
          <w:color w:val="000000"/>
          <w:szCs w:val="21"/>
        </w:rPr>
        <w:t>。</w:t>
      </w:r>
    </w:p>
    <w:p w14:paraId="6EF08B0D">
      <w:pPr>
        <w:spacing w:line="360" w:lineRule="auto"/>
        <w:rPr>
          <w:color w:val="000000"/>
          <w:szCs w:val="21"/>
        </w:rPr>
      </w:pPr>
      <w:r>
        <w:rPr>
          <w:rFonts w:hint="eastAsia"/>
          <w:color w:val="000000"/>
          <w:szCs w:val="21"/>
        </w:rPr>
        <w:t>1</w:t>
      </w:r>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Start w:id="308" w:name="_Toc297048383"/>
      <w:bookmarkStart w:id="309" w:name="_Toc300934993"/>
      <w:bookmarkStart w:id="310" w:name="_Toc296347196"/>
      <w:bookmarkStart w:id="311" w:name="_Toc297216203"/>
      <w:bookmarkStart w:id="312" w:name="_Toc296944536"/>
      <w:bookmarkStart w:id="313" w:name="_Toc292559907"/>
      <w:bookmarkStart w:id="314" w:name="_Toc296503197"/>
      <w:bookmarkStart w:id="315" w:name="_Toc297123544"/>
      <w:bookmarkStart w:id="316" w:name="_Toc303539150"/>
      <w:bookmarkStart w:id="317" w:name="_Toc296346698"/>
      <w:bookmarkStart w:id="318" w:name="_Toc296891025"/>
      <w:bookmarkStart w:id="319" w:name="_Toc297120497"/>
      <w:bookmarkStart w:id="320" w:name="_Toc292559402"/>
      <w:bookmarkStart w:id="321" w:name="_Toc296891237"/>
      <w:bookmarkStart w:id="322" w:name="_Toc312677503"/>
      <w:bookmarkStart w:id="323" w:name="_Toc312678029"/>
      <w:bookmarkStart w:id="324" w:name="_Toc304295570"/>
      <w:r>
        <w:rPr>
          <w:rFonts w:hint="eastAsia"/>
          <w:color w:val="000000"/>
          <w:szCs w:val="21"/>
        </w:rPr>
        <w:t>0.5承</w:t>
      </w:r>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Start w:id="325" w:name="_Toc292559913"/>
      <w:bookmarkStart w:id="326" w:name="_Toc292559408"/>
      <w:bookmarkStart w:id="327" w:name="_Toc296503203"/>
      <w:bookmarkStart w:id="328" w:name="_Toc296891243"/>
      <w:bookmarkStart w:id="329" w:name="_Toc300934994"/>
      <w:bookmarkStart w:id="330" w:name="_Toc296346704"/>
      <w:bookmarkStart w:id="331" w:name="_Toc297048389"/>
      <w:bookmarkStart w:id="332" w:name="_Toc297123545"/>
      <w:bookmarkStart w:id="333" w:name="_Toc296347202"/>
      <w:bookmarkStart w:id="334" w:name="_Toc296891031"/>
      <w:bookmarkStart w:id="335" w:name="_Toc297216204"/>
      <w:bookmarkStart w:id="336" w:name="_Toc296944542"/>
      <w:bookmarkStart w:id="337" w:name="_Toc303539151"/>
      <w:bookmarkStart w:id="338" w:name="_Toc297120503"/>
      <w:r>
        <w:rPr>
          <w:rFonts w:hint="eastAsia"/>
          <w:color w:val="000000"/>
          <w:szCs w:val="21"/>
        </w:rPr>
        <w:t>包人的合理化建议</w:t>
      </w:r>
    </w:p>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p w14:paraId="16458157">
      <w:pPr>
        <w:spacing w:line="360" w:lineRule="auto"/>
        <w:rPr>
          <w:szCs w:val="21"/>
        </w:rPr>
      </w:pPr>
      <w:r>
        <w:rPr>
          <w:rFonts w:hint="eastAsia"/>
          <w:szCs w:val="21"/>
        </w:rPr>
        <w:t>监理人审查承包人合理化建议的期限：</w:t>
      </w:r>
      <w:r>
        <w:rPr>
          <w:rFonts w:hint="eastAsia"/>
          <w:szCs w:val="21"/>
          <w:u w:val="single"/>
        </w:rPr>
        <w:t xml:space="preserve">                    </w:t>
      </w:r>
      <w:r>
        <w:rPr>
          <w:rFonts w:hint="eastAsia"/>
          <w:szCs w:val="21"/>
        </w:rPr>
        <w:t>。</w:t>
      </w:r>
    </w:p>
    <w:p w14:paraId="079A7B0A">
      <w:pPr>
        <w:spacing w:line="360" w:lineRule="auto"/>
        <w:rPr>
          <w:szCs w:val="21"/>
        </w:rPr>
      </w:pPr>
      <w:r>
        <w:rPr>
          <w:rFonts w:hint="eastAsia"/>
          <w:szCs w:val="21"/>
        </w:rPr>
        <w:t>发包人审批承包人合理化建议的期限：</w:t>
      </w:r>
      <w:r>
        <w:rPr>
          <w:rFonts w:hint="eastAsia"/>
          <w:szCs w:val="21"/>
          <w:u w:val="single"/>
        </w:rPr>
        <w:t xml:space="preserve">                    </w:t>
      </w:r>
      <w:r>
        <w:rPr>
          <w:rFonts w:hint="eastAsia"/>
          <w:szCs w:val="21"/>
        </w:rPr>
        <w:t>。</w:t>
      </w:r>
    </w:p>
    <w:p w14:paraId="1218969A">
      <w:pPr>
        <w:spacing w:line="360" w:lineRule="auto"/>
        <w:rPr>
          <w:szCs w:val="21"/>
          <w:u w:val="single"/>
        </w:rPr>
      </w:pPr>
      <w:r>
        <w:rPr>
          <w:rFonts w:hint="eastAsia"/>
          <w:szCs w:val="21"/>
        </w:rPr>
        <w:t>承</w:t>
      </w:r>
      <w:bookmarkStart w:id="339" w:name="_Toc296346705"/>
      <w:bookmarkStart w:id="340" w:name="_Toc292559409"/>
      <w:bookmarkStart w:id="341" w:name="_Toc297216205"/>
      <w:bookmarkStart w:id="342" w:name="_Toc296503204"/>
      <w:bookmarkStart w:id="343" w:name="_Toc297120504"/>
      <w:bookmarkStart w:id="344" w:name="_Toc303539152"/>
      <w:bookmarkStart w:id="345" w:name="_Toc292559914"/>
      <w:bookmarkStart w:id="346" w:name="_Toc296891244"/>
      <w:bookmarkStart w:id="347" w:name="_Toc296347203"/>
      <w:bookmarkStart w:id="348" w:name="_Toc297048390"/>
      <w:bookmarkStart w:id="349" w:name="_Toc296944543"/>
      <w:bookmarkStart w:id="350" w:name="_Toc297123546"/>
      <w:bookmarkStart w:id="351" w:name="_Toc304295571"/>
      <w:bookmarkStart w:id="352" w:name="_Toc318581175"/>
      <w:bookmarkStart w:id="353" w:name="_Toc312677504"/>
      <w:bookmarkStart w:id="354" w:name="_Toc312678030"/>
      <w:bookmarkStart w:id="355" w:name="_Toc300934995"/>
      <w:bookmarkStart w:id="356" w:name="_Toc296891032"/>
      <w:r>
        <w:rPr>
          <w:rFonts w:hint="eastAsia"/>
          <w:szCs w:val="21"/>
        </w:rPr>
        <w:t>包人提出的合理化建议降低了合同价格或者提高了工程经济效益的奖励的方法和金额为：</w:t>
      </w:r>
      <w:r>
        <w:rPr>
          <w:rFonts w:hint="eastAsia"/>
          <w:szCs w:val="21"/>
          <w:u w:val="single"/>
        </w:rPr>
        <w:t xml:space="preserve">                                </w:t>
      </w:r>
    </w:p>
    <w:p w14:paraId="22C3B11A">
      <w:pPr>
        <w:spacing w:line="360" w:lineRule="auto"/>
        <w:rPr>
          <w:szCs w:val="21"/>
          <w:u w:val="single"/>
        </w:rPr>
      </w:pPr>
      <w:r>
        <w:rPr>
          <w:rFonts w:hint="eastAsia"/>
          <w:szCs w:val="21"/>
          <w:u w:val="single"/>
        </w:rPr>
        <w:t xml:space="preserve">                                                         </w:t>
      </w:r>
      <w:r>
        <w:rPr>
          <w:rFonts w:hint="eastAsia"/>
          <w:szCs w:val="21"/>
        </w:rPr>
        <w:t>。</w:t>
      </w:r>
    </w:p>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p w14:paraId="29FF7909">
      <w:pPr>
        <w:spacing w:line="360" w:lineRule="auto"/>
        <w:rPr>
          <w:color w:val="000000"/>
          <w:szCs w:val="21"/>
        </w:rPr>
      </w:pPr>
      <w:r>
        <w:rPr>
          <w:rFonts w:hint="eastAsia"/>
          <w:color w:val="000000"/>
          <w:szCs w:val="21"/>
        </w:rPr>
        <w:t>1</w:t>
      </w:r>
      <w:bookmarkStart w:id="357" w:name="_Toc296891027"/>
      <w:bookmarkStart w:id="358" w:name="_Toc297048385"/>
      <w:bookmarkStart w:id="359" w:name="_Toc297120499"/>
      <w:bookmarkStart w:id="360" w:name="_Toc296347198"/>
      <w:bookmarkStart w:id="361" w:name="_Toc297216207"/>
      <w:bookmarkStart w:id="362" w:name="_Toc312678033"/>
      <w:bookmarkStart w:id="363" w:name="_Toc292559404"/>
      <w:bookmarkStart w:id="364" w:name="_Toc296944538"/>
      <w:bookmarkStart w:id="365" w:name="_Toc300934997"/>
      <w:bookmarkStart w:id="366" w:name="_Toc296346700"/>
      <w:bookmarkStart w:id="367" w:name="_Toc297123548"/>
      <w:bookmarkStart w:id="368" w:name="_Toc312677507"/>
      <w:bookmarkStart w:id="369" w:name="_Toc296891239"/>
      <w:bookmarkStart w:id="370" w:name="_Toc292559909"/>
      <w:bookmarkStart w:id="371" w:name="_Toc304295574"/>
      <w:bookmarkStart w:id="372" w:name="_Toc303539154"/>
      <w:bookmarkStart w:id="373" w:name="_Toc296503199"/>
      <w:r>
        <w:rPr>
          <w:rFonts w:hint="eastAsia"/>
          <w:color w:val="000000"/>
          <w:szCs w:val="21"/>
        </w:rPr>
        <w:t>0.7 暂估价</w:t>
      </w:r>
    </w:p>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p w14:paraId="7329FAC0">
      <w:pPr>
        <w:spacing w:line="360" w:lineRule="auto"/>
        <w:rPr>
          <w:szCs w:val="21"/>
        </w:rPr>
      </w:pPr>
      <w:r>
        <w:rPr>
          <w:rFonts w:hint="eastAsia"/>
          <w:szCs w:val="21"/>
        </w:rPr>
        <w:t>暂</w:t>
      </w:r>
      <w:bookmarkStart w:id="374" w:name="_Toc312677508"/>
      <w:bookmarkStart w:id="375" w:name="_Toc312678034"/>
      <w:bookmarkStart w:id="376" w:name="_Toc318581176"/>
      <w:r>
        <w:rPr>
          <w:rFonts w:hint="eastAsia"/>
          <w:szCs w:val="21"/>
        </w:rPr>
        <w:t>估价材料和工程设备的明细详见附件11：《</w:t>
      </w:r>
      <w:r>
        <w:rPr>
          <w:rFonts w:hint="eastAsia"/>
          <w:color w:val="000000"/>
          <w:szCs w:val="21"/>
        </w:rPr>
        <w:t>暂估价一览表》</w:t>
      </w:r>
      <w:r>
        <w:rPr>
          <w:rFonts w:hint="eastAsia"/>
          <w:szCs w:val="21"/>
        </w:rPr>
        <w:t>。</w:t>
      </w:r>
    </w:p>
    <w:bookmarkEnd w:id="374"/>
    <w:bookmarkEnd w:id="375"/>
    <w:bookmarkEnd w:id="376"/>
    <w:p w14:paraId="7E2E05EC">
      <w:pPr>
        <w:spacing w:line="360" w:lineRule="auto"/>
        <w:rPr>
          <w:szCs w:val="21"/>
        </w:rPr>
      </w:pPr>
      <w:r>
        <w:rPr>
          <w:rFonts w:hint="eastAsia"/>
          <w:szCs w:val="21"/>
        </w:rPr>
        <w:t>1</w:t>
      </w:r>
      <w:bookmarkStart w:id="377" w:name="_Toc312678035"/>
      <w:bookmarkStart w:id="378" w:name="_Toc318581177"/>
      <w:bookmarkStart w:id="379" w:name="_Toc312677509"/>
      <w:r>
        <w:rPr>
          <w:rFonts w:hint="eastAsia"/>
          <w:szCs w:val="21"/>
        </w:rPr>
        <w:t>0.7.1 依法必须招标的暂估价项目</w:t>
      </w:r>
    </w:p>
    <w:bookmarkEnd w:id="377"/>
    <w:bookmarkEnd w:id="378"/>
    <w:bookmarkEnd w:id="379"/>
    <w:p w14:paraId="0B5C2422">
      <w:pPr>
        <w:spacing w:line="360" w:lineRule="auto"/>
        <w:rPr>
          <w:szCs w:val="21"/>
        </w:rPr>
      </w:pPr>
      <w:r>
        <w:rPr>
          <w:rFonts w:hint="eastAsia"/>
          <w:szCs w:val="21"/>
        </w:rPr>
        <w:t>对于依法必须招标的暂估价项目的确认和批准采取第</w:t>
      </w:r>
      <w:r>
        <w:rPr>
          <w:rFonts w:hint="eastAsia"/>
          <w:szCs w:val="21"/>
          <w:u w:val="single"/>
        </w:rPr>
        <w:t xml:space="preserve">    </w:t>
      </w:r>
      <w:r>
        <w:rPr>
          <w:rFonts w:hint="eastAsia"/>
          <w:szCs w:val="21"/>
        </w:rPr>
        <w:t>种方式确定。</w:t>
      </w:r>
    </w:p>
    <w:p w14:paraId="2827E7AB">
      <w:pPr>
        <w:spacing w:line="360" w:lineRule="auto"/>
        <w:rPr>
          <w:szCs w:val="21"/>
        </w:rPr>
      </w:pPr>
      <w:r>
        <w:rPr>
          <w:rFonts w:hint="eastAsia"/>
          <w:szCs w:val="21"/>
        </w:rPr>
        <w:t>10.7.2 不属于依法必须招标的暂估价项目</w:t>
      </w:r>
    </w:p>
    <w:p w14:paraId="41D43E18">
      <w:pPr>
        <w:spacing w:line="360" w:lineRule="auto"/>
        <w:rPr>
          <w:szCs w:val="21"/>
        </w:rPr>
      </w:pPr>
      <w:r>
        <w:rPr>
          <w:rFonts w:hint="eastAsia"/>
          <w:szCs w:val="21"/>
        </w:rPr>
        <w:t>对于不属于依法必须招标的暂估价项目的确认和批准采取第</w:t>
      </w:r>
      <w:r>
        <w:rPr>
          <w:rFonts w:hint="eastAsia"/>
          <w:szCs w:val="21"/>
          <w:u w:val="single"/>
        </w:rPr>
        <w:t xml:space="preserve">   </w:t>
      </w:r>
      <w:r>
        <w:rPr>
          <w:rFonts w:hint="eastAsia"/>
          <w:szCs w:val="21"/>
        </w:rPr>
        <w:t xml:space="preserve"> 种方式确定。</w:t>
      </w:r>
    </w:p>
    <w:p w14:paraId="7275563F">
      <w:pPr>
        <w:spacing w:line="360" w:lineRule="auto"/>
        <w:rPr>
          <w:color w:val="000000"/>
          <w:szCs w:val="21"/>
        </w:rPr>
      </w:pPr>
      <w:r>
        <w:rPr>
          <w:rFonts w:hint="eastAsia"/>
          <w:color w:val="000000"/>
          <w:szCs w:val="21"/>
        </w:rPr>
        <w:t>第3种方式：承包人直接实施的暂估价项目</w:t>
      </w:r>
    </w:p>
    <w:p w14:paraId="38FA2DBB">
      <w:pPr>
        <w:spacing w:line="360" w:lineRule="auto"/>
        <w:rPr>
          <w:szCs w:val="21"/>
        </w:rPr>
      </w:pPr>
      <w:r>
        <w:rPr>
          <w:rFonts w:hint="eastAsia"/>
          <w:szCs w:val="21"/>
        </w:rPr>
        <w:t>承包人直接实施的暂估价项目的约定：</w:t>
      </w:r>
      <w:r>
        <w:rPr>
          <w:rFonts w:hint="eastAsia"/>
          <w:szCs w:val="21"/>
          <w:u w:val="single"/>
        </w:rPr>
        <w:t xml:space="preserve">                                       </w:t>
      </w:r>
      <w:r>
        <w:rPr>
          <w:rFonts w:hint="eastAsia"/>
          <w:szCs w:val="21"/>
        </w:rPr>
        <w:t>。</w:t>
      </w:r>
    </w:p>
    <w:p w14:paraId="101253BF">
      <w:pPr>
        <w:spacing w:line="360" w:lineRule="auto"/>
        <w:rPr>
          <w:color w:val="000000"/>
          <w:szCs w:val="21"/>
        </w:rPr>
      </w:pPr>
      <w:r>
        <w:rPr>
          <w:rFonts w:hint="eastAsia"/>
          <w:color w:val="000000"/>
          <w:szCs w:val="21"/>
        </w:rPr>
        <w:t>10.8 暂列金额</w:t>
      </w:r>
    </w:p>
    <w:p w14:paraId="0DCCAF71">
      <w:pPr>
        <w:adjustRightInd w:val="0"/>
        <w:spacing w:line="360" w:lineRule="auto"/>
        <w:rPr>
          <w:color w:val="000000"/>
          <w:szCs w:val="21"/>
        </w:rPr>
      </w:pPr>
      <w:r>
        <w:rPr>
          <w:rFonts w:hint="eastAsia"/>
          <w:color w:val="000000"/>
          <w:szCs w:val="21"/>
        </w:rPr>
        <w:t>合同当事人关于暂列金额使用的约定：</w:t>
      </w:r>
      <w:r>
        <w:rPr>
          <w:rFonts w:hint="eastAsia"/>
          <w:szCs w:val="21"/>
          <w:u w:val="single"/>
        </w:rPr>
        <w:t xml:space="preserve">                           </w:t>
      </w:r>
      <w:r>
        <w:rPr>
          <w:rFonts w:hint="eastAsia"/>
          <w:color w:val="000000"/>
          <w:szCs w:val="21"/>
        </w:rPr>
        <w:t>。</w:t>
      </w:r>
    </w:p>
    <w:p w14:paraId="7E9007C3">
      <w:pPr>
        <w:adjustRightInd w:val="0"/>
        <w:spacing w:line="360" w:lineRule="auto"/>
        <w:rPr>
          <w:color w:val="000000"/>
          <w:szCs w:val="21"/>
        </w:rPr>
      </w:pPr>
      <w:bookmarkStart w:id="380" w:name="_Toc351203643"/>
      <w:r>
        <w:rPr>
          <w:rFonts w:hint="eastAsia"/>
          <w:color w:val="000000"/>
          <w:szCs w:val="21"/>
        </w:rPr>
        <w:t>11. 价格调整</w:t>
      </w:r>
      <w:bookmarkEnd w:id="380"/>
    </w:p>
    <w:p w14:paraId="64F08FF7">
      <w:pPr>
        <w:spacing w:line="360" w:lineRule="auto"/>
        <w:rPr>
          <w:color w:val="000000"/>
          <w:szCs w:val="21"/>
        </w:rPr>
      </w:pPr>
      <w:bookmarkStart w:id="381" w:name="_Toc296944540"/>
      <w:bookmarkStart w:id="382" w:name="_Toc296891241"/>
      <w:bookmarkStart w:id="383" w:name="_Toc296891029"/>
      <w:bookmarkStart w:id="384" w:name="_Toc297048387"/>
      <w:bookmarkStart w:id="385" w:name="_Toc300935000"/>
      <w:bookmarkStart w:id="386" w:name="_Toc296346702"/>
      <w:bookmarkStart w:id="387" w:name="_Toc304295577"/>
      <w:bookmarkStart w:id="388" w:name="_Toc296347200"/>
      <w:bookmarkStart w:id="389" w:name="_Toc297123550"/>
      <w:bookmarkStart w:id="390" w:name="_Toc297216209"/>
      <w:bookmarkStart w:id="391" w:name="_Toc296503201"/>
      <w:bookmarkStart w:id="392" w:name="_Toc292559406"/>
      <w:bookmarkStart w:id="393" w:name="_Toc303539157"/>
      <w:bookmarkStart w:id="394" w:name="_Toc312678039"/>
      <w:bookmarkStart w:id="395" w:name="_Toc292559911"/>
      <w:bookmarkStart w:id="396" w:name="_Toc297120501"/>
      <w:r>
        <w:rPr>
          <w:rFonts w:hint="eastAsia"/>
          <w:color w:val="000000"/>
          <w:szCs w:val="21"/>
        </w:rPr>
        <w:t>11.1 市场价格波动引起的调整</w:t>
      </w:r>
    </w:p>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p w14:paraId="72D46768">
      <w:pPr>
        <w:spacing w:line="360" w:lineRule="auto"/>
        <w:rPr>
          <w:color w:val="000000"/>
          <w:szCs w:val="21"/>
        </w:rPr>
      </w:pPr>
      <w:r>
        <w:rPr>
          <w:rFonts w:hint="eastAsia"/>
          <w:color w:val="000000"/>
          <w:szCs w:val="21"/>
        </w:rPr>
        <w:t>市场价格波动是否调整合同价格的约定：</w:t>
      </w:r>
      <w:r>
        <w:rPr>
          <w:rFonts w:hint="eastAsia"/>
          <w:szCs w:val="21"/>
          <w:u w:val="single"/>
        </w:rPr>
        <w:t xml:space="preserve">                 </w:t>
      </w:r>
      <w:r>
        <w:rPr>
          <w:rFonts w:hint="eastAsia"/>
          <w:szCs w:val="21"/>
        </w:rPr>
        <w:t>。</w:t>
      </w:r>
    </w:p>
    <w:p w14:paraId="6B16C709">
      <w:pPr>
        <w:spacing w:line="360" w:lineRule="auto"/>
        <w:rPr>
          <w:color w:val="000000"/>
          <w:szCs w:val="21"/>
        </w:rPr>
      </w:pPr>
      <w:r>
        <w:rPr>
          <w:rFonts w:hint="eastAsia"/>
          <w:color w:val="000000"/>
          <w:szCs w:val="21"/>
        </w:rPr>
        <w:t>因市场价格波动调整合同价格，采用以下</w:t>
      </w:r>
      <w:r>
        <w:rPr>
          <w:rFonts w:hint="eastAsia"/>
          <w:szCs w:val="21"/>
        </w:rPr>
        <w:t>第</w:t>
      </w:r>
      <w:r>
        <w:rPr>
          <w:rFonts w:hint="eastAsia"/>
          <w:szCs w:val="21"/>
          <w:u w:val="single"/>
        </w:rPr>
        <w:t xml:space="preserve">    </w:t>
      </w:r>
      <w:r>
        <w:rPr>
          <w:rFonts w:hint="eastAsia"/>
          <w:color w:val="000000"/>
          <w:szCs w:val="21"/>
        </w:rPr>
        <w:t>种方式对合同价格进行调整：</w:t>
      </w:r>
    </w:p>
    <w:p w14:paraId="7AE3D311">
      <w:pPr>
        <w:spacing w:line="360" w:lineRule="auto"/>
        <w:rPr>
          <w:color w:val="000000"/>
          <w:szCs w:val="21"/>
        </w:rPr>
      </w:pPr>
      <w:r>
        <w:rPr>
          <w:rFonts w:hint="eastAsia"/>
          <w:color w:val="000000"/>
          <w:szCs w:val="21"/>
        </w:rPr>
        <w:t>第1种方式：采用价格指数进行价格调整。</w:t>
      </w:r>
    </w:p>
    <w:p w14:paraId="5247ACD7">
      <w:pPr>
        <w:spacing w:line="360" w:lineRule="auto"/>
        <w:rPr>
          <w:color w:val="000000"/>
          <w:szCs w:val="21"/>
          <w:u w:val="single"/>
        </w:rPr>
      </w:pPr>
      <w:r>
        <w:rPr>
          <w:rFonts w:hint="eastAsia"/>
          <w:color w:val="000000"/>
          <w:szCs w:val="21"/>
        </w:rPr>
        <w:t>关于各可调因子、定值和变值权重，以及基本价格指数及其来源的约定：</w:t>
      </w:r>
      <w:r>
        <w:rPr>
          <w:rFonts w:hint="eastAsia"/>
          <w:color w:val="000000"/>
          <w:szCs w:val="21"/>
          <w:u w:val="single"/>
        </w:rPr>
        <w:t xml:space="preserve">                    </w:t>
      </w:r>
      <w:r>
        <w:rPr>
          <w:rFonts w:hint="eastAsia"/>
          <w:color w:val="000000"/>
          <w:szCs w:val="21"/>
        </w:rPr>
        <w:t xml:space="preserve">；  </w:t>
      </w:r>
    </w:p>
    <w:p w14:paraId="64336824">
      <w:pPr>
        <w:spacing w:line="360" w:lineRule="auto"/>
        <w:rPr>
          <w:color w:val="000000"/>
          <w:szCs w:val="21"/>
        </w:rPr>
      </w:pPr>
      <w:r>
        <w:rPr>
          <w:rFonts w:hint="eastAsia"/>
          <w:color w:val="000000"/>
          <w:szCs w:val="21"/>
        </w:rPr>
        <w:t>第2种方式：采用造价信息进行价格调整。</w:t>
      </w:r>
    </w:p>
    <w:p w14:paraId="7396008A">
      <w:pPr>
        <w:spacing w:line="360" w:lineRule="auto"/>
        <w:rPr>
          <w:color w:val="000000"/>
          <w:szCs w:val="21"/>
        </w:rPr>
      </w:pPr>
      <w:r>
        <w:rPr>
          <w:rFonts w:hint="eastAsia"/>
          <w:color w:val="000000"/>
          <w:szCs w:val="21"/>
        </w:rPr>
        <w:t>（2）关于基准价格的约定：</w:t>
      </w:r>
      <w:r>
        <w:rPr>
          <w:rFonts w:hint="eastAsia"/>
          <w:szCs w:val="21"/>
          <w:u w:val="single"/>
        </w:rPr>
        <w:t xml:space="preserve">                         </w:t>
      </w:r>
      <w:r>
        <w:rPr>
          <w:rFonts w:hint="eastAsia"/>
          <w:szCs w:val="21"/>
        </w:rPr>
        <w:t>。</w:t>
      </w:r>
    </w:p>
    <w:p w14:paraId="0C0BA6F1">
      <w:pPr>
        <w:spacing w:line="360" w:lineRule="auto"/>
        <w:rPr>
          <w:color w:val="000000"/>
          <w:szCs w:val="21"/>
        </w:rPr>
      </w:pPr>
      <w:r>
        <w:rPr>
          <w:rFonts w:hint="eastAsia"/>
          <w:color w:val="000000"/>
          <w:szCs w:val="21"/>
        </w:rPr>
        <w:t>专用合同条款①承包人在预算书中载明的材料单价低于基准价格的：专用合同条款合同履行期间材料单价涨幅以基准价格为基础超过</w:t>
      </w:r>
      <w:r>
        <w:rPr>
          <w:rFonts w:hint="eastAsia"/>
          <w:color w:val="000000"/>
          <w:szCs w:val="21"/>
          <w:u w:val="single"/>
        </w:rPr>
        <w:t xml:space="preserve">   </w:t>
      </w:r>
      <w:r>
        <w:rPr>
          <w:rFonts w:hint="eastAsia"/>
          <w:color w:val="000000"/>
          <w:szCs w:val="21"/>
        </w:rPr>
        <w:t>%时，或材料单价跌幅以预算书中载明材料单价为基础超过</w:t>
      </w:r>
      <w:r>
        <w:rPr>
          <w:rFonts w:hint="eastAsia"/>
          <w:color w:val="000000"/>
          <w:szCs w:val="21"/>
          <w:u w:val="single"/>
        </w:rPr>
        <w:t xml:space="preserve">   </w:t>
      </w:r>
      <w:r>
        <w:rPr>
          <w:rFonts w:hint="eastAsia"/>
          <w:color w:val="000000"/>
          <w:szCs w:val="21"/>
        </w:rPr>
        <w:t>%时，其超过部分据实调整。</w:t>
      </w:r>
    </w:p>
    <w:p w14:paraId="0DAA7380">
      <w:pPr>
        <w:spacing w:line="360" w:lineRule="auto"/>
        <w:rPr>
          <w:color w:val="000000"/>
          <w:szCs w:val="21"/>
        </w:rPr>
      </w:pPr>
      <w:r>
        <w:rPr>
          <w:rFonts w:hint="eastAsia"/>
          <w:color w:val="000000"/>
          <w:szCs w:val="21"/>
        </w:rPr>
        <w:t>②承包人在预算书中载明的材料单价高于基准价格的：专用合同条款合同履行期间材料单价跌幅以基准价格为基础超过</w:t>
      </w:r>
      <w:r>
        <w:rPr>
          <w:rFonts w:hint="eastAsia"/>
          <w:color w:val="000000"/>
          <w:szCs w:val="21"/>
          <w:u w:val="single"/>
        </w:rPr>
        <w:t xml:space="preserve">   </w:t>
      </w:r>
      <w:r>
        <w:rPr>
          <w:rFonts w:hint="eastAsia"/>
          <w:color w:val="000000"/>
          <w:szCs w:val="21"/>
        </w:rPr>
        <w:t>%时，材料单价涨幅以预算书中载明材料单价为基础超过</w:t>
      </w:r>
      <w:r>
        <w:rPr>
          <w:rFonts w:hint="eastAsia"/>
          <w:color w:val="000000"/>
          <w:szCs w:val="21"/>
          <w:u w:val="single"/>
        </w:rPr>
        <w:t xml:space="preserve">   </w:t>
      </w:r>
      <w:r>
        <w:rPr>
          <w:rFonts w:hint="eastAsia"/>
          <w:color w:val="000000"/>
          <w:szCs w:val="21"/>
        </w:rPr>
        <w:t>%时，其超过部分据实调整。</w:t>
      </w:r>
    </w:p>
    <w:p w14:paraId="66B60C09">
      <w:pPr>
        <w:spacing w:line="360" w:lineRule="auto"/>
        <w:rPr>
          <w:color w:val="000000"/>
          <w:szCs w:val="21"/>
        </w:rPr>
      </w:pPr>
      <w:r>
        <w:rPr>
          <w:rFonts w:hint="eastAsia"/>
          <w:color w:val="000000"/>
          <w:szCs w:val="21"/>
        </w:rPr>
        <w:t>③承包人在预算书中载明的材料单价等于基准单价的：专用合同条款合同履行期间材料单价涨跌幅以基准单价为基础超过±</w:t>
      </w:r>
      <w:r>
        <w:rPr>
          <w:rFonts w:hint="eastAsia"/>
          <w:color w:val="000000"/>
          <w:szCs w:val="21"/>
          <w:u w:val="single"/>
        </w:rPr>
        <w:t xml:space="preserve">   </w:t>
      </w:r>
      <w:r>
        <w:rPr>
          <w:rFonts w:hint="eastAsia"/>
          <w:color w:val="000000"/>
          <w:szCs w:val="21"/>
        </w:rPr>
        <w:t>%时，其超过部分据实调整。</w:t>
      </w:r>
    </w:p>
    <w:p w14:paraId="098F8905">
      <w:pPr>
        <w:spacing w:line="360" w:lineRule="auto"/>
        <w:rPr>
          <w:color w:val="000000"/>
          <w:szCs w:val="21"/>
        </w:rPr>
      </w:pPr>
      <w:r>
        <w:rPr>
          <w:rFonts w:hint="eastAsia"/>
          <w:color w:val="000000"/>
          <w:szCs w:val="21"/>
        </w:rPr>
        <w:t>第3种方式：其他价格调整方式：</w:t>
      </w:r>
      <w:r>
        <w:rPr>
          <w:rFonts w:hint="eastAsia"/>
          <w:color w:val="000000"/>
          <w:szCs w:val="21"/>
          <w:u w:val="single"/>
        </w:rPr>
        <w:t xml:space="preserve">                                   </w:t>
      </w:r>
      <w:r>
        <w:rPr>
          <w:rFonts w:hint="eastAsia"/>
          <w:color w:val="000000"/>
          <w:szCs w:val="21"/>
        </w:rPr>
        <w:t>。</w:t>
      </w:r>
    </w:p>
    <w:bookmarkEnd w:id="284"/>
    <w:bookmarkEnd w:id="285"/>
    <w:bookmarkEnd w:id="286"/>
    <w:bookmarkEnd w:id="287"/>
    <w:bookmarkEnd w:id="288"/>
    <w:bookmarkEnd w:id="289"/>
    <w:p w14:paraId="2C720CE3">
      <w:pPr>
        <w:adjustRightInd w:val="0"/>
        <w:spacing w:line="360" w:lineRule="auto"/>
        <w:rPr>
          <w:color w:val="000000"/>
          <w:szCs w:val="21"/>
        </w:rPr>
      </w:pPr>
      <w:bookmarkStart w:id="397" w:name="_Toc296347204"/>
      <w:bookmarkStart w:id="398" w:name="_Toc292559915"/>
      <w:bookmarkStart w:id="399" w:name="_Toc296891245"/>
      <w:bookmarkStart w:id="400" w:name="_Toc296891033"/>
      <w:bookmarkStart w:id="401" w:name="_Toc296944544"/>
      <w:bookmarkStart w:id="402" w:name="_Toc296503205"/>
      <w:bookmarkStart w:id="403" w:name="_Toc297120505"/>
      <w:bookmarkStart w:id="404" w:name="_Toc292559410"/>
      <w:bookmarkStart w:id="405" w:name="_Toc296346706"/>
      <w:bookmarkStart w:id="406" w:name="_Toc297048391"/>
      <w:bookmarkStart w:id="407" w:name="_Toc351203644"/>
      <w:bookmarkStart w:id="408" w:name="_Toc300935002"/>
      <w:bookmarkStart w:id="409" w:name="_Toc297123552"/>
      <w:bookmarkStart w:id="410" w:name="_Toc304295579"/>
      <w:bookmarkStart w:id="411" w:name="_Toc303539159"/>
      <w:bookmarkStart w:id="412" w:name="_Toc312678040"/>
      <w:bookmarkStart w:id="413" w:name="_Toc297216211"/>
      <w:r>
        <w:rPr>
          <w:rFonts w:hint="eastAsia"/>
          <w:color w:val="000000"/>
          <w:szCs w:val="21"/>
        </w:rPr>
        <w:t xml:space="preserve">12. </w:t>
      </w:r>
      <w:bookmarkEnd w:id="397"/>
      <w:bookmarkEnd w:id="398"/>
      <w:bookmarkEnd w:id="399"/>
      <w:bookmarkEnd w:id="400"/>
      <w:bookmarkEnd w:id="401"/>
      <w:bookmarkEnd w:id="402"/>
      <w:bookmarkEnd w:id="403"/>
      <w:bookmarkEnd w:id="404"/>
      <w:bookmarkEnd w:id="405"/>
      <w:bookmarkEnd w:id="406"/>
      <w:r>
        <w:rPr>
          <w:rFonts w:hint="eastAsia"/>
          <w:color w:val="000000"/>
          <w:szCs w:val="21"/>
        </w:rPr>
        <w:t>合同价格、计量与支付</w:t>
      </w:r>
      <w:bookmarkEnd w:id="407"/>
    </w:p>
    <w:bookmarkEnd w:id="408"/>
    <w:bookmarkEnd w:id="409"/>
    <w:bookmarkEnd w:id="410"/>
    <w:bookmarkEnd w:id="411"/>
    <w:bookmarkEnd w:id="412"/>
    <w:bookmarkEnd w:id="413"/>
    <w:p w14:paraId="1714EB11">
      <w:pPr>
        <w:spacing w:line="360" w:lineRule="auto"/>
        <w:rPr>
          <w:color w:val="000000"/>
          <w:szCs w:val="21"/>
        </w:rPr>
      </w:pPr>
      <w:bookmarkStart w:id="414" w:name="_Toc292559411"/>
      <w:bookmarkStart w:id="415" w:name="_Toc267251461"/>
      <w:bookmarkStart w:id="416" w:name="_Toc292559916"/>
      <w:bookmarkStart w:id="417" w:name="_Toc297120506"/>
      <w:bookmarkStart w:id="418" w:name="_Toc296503206"/>
      <w:bookmarkStart w:id="419" w:name="_Toc296891246"/>
      <w:bookmarkStart w:id="420" w:name="_Toc296944545"/>
      <w:bookmarkStart w:id="421" w:name="_Toc296347205"/>
      <w:bookmarkStart w:id="422" w:name="_Toc296891034"/>
      <w:bookmarkStart w:id="423" w:name="_Toc296346707"/>
      <w:bookmarkStart w:id="424" w:name="_Toc297048392"/>
      <w:bookmarkStart w:id="425" w:name="_Toc297123553"/>
      <w:bookmarkStart w:id="426" w:name="_Toc304295580"/>
      <w:bookmarkStart w:id="427" w:name="_Toc300935003"/>
      <w:bookmarkStart w:id="428" w:name="_Toc312678041"/>
      <w:bookmarkStart w:id="429" w:name="_Toc297216212"/>
      <w:bookmarkStart w:id="430" w:name="_Toc303539160"/>
      <w:r>
        <w:rPr>
          <w:rFonts w:hint="eastAsia"/>
          <w:color w:val="000000"/>
          <w:szCs w:val="21"/>
        </w:rPr>
        <w:t>12.1 合</w:t>
      </w:r>
      <w:bookmarkEnd w:id="414"/>
      <w:bookmarkEnd w:id="415"/>
      <w:bookmarkEnd w:id="416"/>
      <w:r>
        <w:rPr>
          <w:rFonts w:hint="eastAsia"/>
          <w:color w:val="000000"/>
          <w:szCs w:val="21"/>
        </w:rPr>
        <w:t>同价</w:t>
      </w:r>
      <w:bookmarkEnd w:id="417"/>
      <w:bookmarkEnd w:id="418"/>
      <w:bookmarkEnd w:id="419"/>
      <w:bookmarkEnd w:id="420"/>
      <w:bookmarkEnd w:id="421"/>
      <w:bookmarkEnd w:id="422"/>
      <w:bookmarkEnd w:id="423"/>
      <w:bookmarkEnd w:id="424"/>
      <w:r>
        <w:rPr>
          <w:rFonts w:hint="eastAsia"/>
          <w:color w:val="000000"/>
          <w:szCs w:val="21"/>
        </w:rPr>
        <w:t>格形式</w:t>
      </w:r>
    </w:p>
    <w:bookmarkEnd w:id="425"/>
    <w:bookmarkEnd w:id="426"/>
    <w:bookmarkEnd w:id="427"/>
    <w:bookmarkEnd w:id="428"/>
    <w:bookmarkEnd w:id="429"/>
    <w:bookmarkEnd w:id="430"/>
    <w:p w14:paraId="7B2BD0D5">
      <w:pPr>
        <w:spacing w:line="360" w:lineRule="auto"/>
        <w:rPr>
          <w:color w:val="000000"/>
          <w:szCs w:val="21"/>
        </w:rPr>
      </w:pPr>
      <w:r>
        <w:rPr>
          <w:rFonts w:hint="eastAsia"/>
          <w:color w:val="000000"/>
          <w:szCs w:val="21"/>
        </w:rPr>
        <w:t>1、单价合同。</w:t>
      </w:r>
    </w:p>
    <w:p w14:paraId="7D234EE2">
      <w:pPr>
        <w:spacing w:line="360" w:lineRule="auto"/>
        <w:rPr>
          <w:color w:val="000000"/>
          <w:szCs w:val="21"/>
        </w:rPr>
      </w:pPr>
      <w:r>
        <w:rPr>
          <w:rFonts w:hint="eastAsia"/>
          <w:color w:val="000000"/>
          <w:szCs w:val="21"/>
        </w:rPr>
        <w:t>综合单价包含的风险范围：</w:t>
      </w:r>
      <w:r>
        <w:rPr>
          <w:rFonts w:hint="eastAsia"/>
          <w:color w:val="000000"/>
          <w:szCs w:val="21"/>
          <w:u w:val="single"/>
        </w:rPr>
        <w:t xml:space="preserve">                                               </w:t>
      </w:r>
      <w:r>
        <w:rPr>
          <w:rFonts w:hint="eastAsia"/>
          <w:color w:val="000000"/>
          <w:szCs w:val="21"/>
        </w:rPr>
        <w:t>。</w:t>
      </w:r>
    </w:p>
    <w:p w14:paraId="675FB651">
      <w:pPr>
        <w:spacing w:line="360" w:lineRule="auto"/>
        <w:rPr>
          <w:color w:val="000000"/>
          <w:szCs w:val="21"/>
        </w:rPr>
      </w:pPr>
      <w:r>
        <w:rPr>
          <w:rFonts w:hint="eastAsia"/>
          <w:color w:val="000000"/>
          <w:szCs w:val="21"/>
        </w:rPr>
        <w:t>风险费用的计算方法：</w:t>
      </w:r>
      <w:r>
        <w:rPr>
          <w:rFonts w:hint="eastAsia"/>
          <w:color w:val="000000"/>
          <w:szCs w:val="21"/>
          <w:u w:val="single"/>
        </w:rPr>
        <w:t xml:space="preserve">                                      </w:t>
      </w:r>
      <w:r>
        <w:rPr>
          <w:rFonts w:hint="eastAsia"/>
          <w:color w:val="000000"/>
          <w:szCs w:val="21"/>
        </w:rPr>
        <w:t>。</w:t>
      </w:r>
    </w:p>
    <w:p w14:paraId="09259E2F">
      <w:pPr>
        <w:spacing w:line="360" w:lineRule="auto"/>
        <w:rPr>
          <w:color w:val="000000"/>
          <w:szCs w:val="21"/>
        </w:rPr>
      </w:pPr>
      <w:r>
        <w:rPr>
          <w:rFonts w:hint="eastAsia"/>
          <w:color w:val="000000"/>
          <w:szCs w:val="21"/>
        </w:rPr>
        <w:t>风险范围以外合同价格的调整方法：</w:t>
      </w:r>
      <w:r>
        <w:rPr>
          <w:rFonts w:hint="eastAsia"/>
          <w:color w:val="000000"/>
          <w:szCs w:val="21"/>
          <w:u w:val="single"/>
        </w:rPr>
        <w:t xml:space="preserve">                                  </w:t>
      </w:r>
      <w:r>
        <w:rPr>
          <w:rFonts w:hint="eastAsia"/>
          <w:color w:val="000000"/>
          <w:szCs w:val="21"/>
        </w:rPr>
        <w:t>。</w:t>
      </w:r>
    </w:p>
    <w:p w14:paraId="2FA70E65">
      <w:pPr>
        <w:spacing w:line="360" w:lineRule="auto"/>
        <w:rPr>
          <w:color w:val="000000"/>
          <w:szCs w:val="21"/>
        </w:rPr>
      </w:pPr>
      <w:r>
        <w:rPr>
          <w:rFonts w:hint="eastAsia"/>
          <w:color w:val="000000"/>
          <w:szCs w:val="21"/>
        </w:rPr>
        <w:t>2、总价合同。</w:t>
      </w:r>
    </w:p>
    <w:p w14:paraId="5850B3F4">
      <w:pPr>
        <w:spacing w:line="360" w:lineRule="auto"/>
        <w:rPr>
          <w:color w:val="000000"/>
          <w:szCs w:val="21"/>
        </w:rPr>
      </w:pPr>
      <w:r>
        <w:rPr>
          <w:rFonts w:hint="eastAsia"/>
          <w:color w:val="000000"/>
          <w:szCs w:val="21"/>
        </w:rPr>
        <w:t>总价包含的风险范围：</w:t>
      </w:r>
      <w:r>
        <w:rPr>
          <w:rFonts w:hint="eastAsia"/>
          <w:color w:val="000000"/>
          <w:szCs w:val="21"/>
          <w:u w:val="single"/>
        </w:rPr>
        <w:t xml:space="preserve">                                                   </w:t>
      </w:r>
      <w:r>
        <w:rPr>
          <w:rFonts w:hint="eastAsia"/>
          <w:color w:val="000000"/>
          <w:szCs w:val="21"/>
        </w:rPr>
        <w:t>。</w:t>
      </w:r>
    </w:p>
    <w:p w14:paraId="4432DB61">
      <w:pPr>
        <w:spacing w:line="360" w:lineRule="auto"/>
        <w:rPr>
          <w:color w:val="000000"/>
          <w:szCs w:val="21"/>
        </w:rPr>
      </w:pPr>
      <w:r>
        <w:rPr>
          <w:rFonts w:hint="eastAsia"/>
          <w:color w:val="000000"/>
          <w:szCs w:val="21"/>
        </w:rPr>
        <w:t>风险费用的计算方法：</w:t>
      </w:r>
      <w:r>
        <w:rPr>
          <w:rFonts w:hint="eastAsia"/>
          <w:color w:val="000000"/>
          <w:szCs w:val="21"/>
          <w:u w:val="single"/>
        </w:rPr>
        <w:t xml:space="preserve">                                       </w:t>
      </w:r>
      <w:r>
        <w:rPr>
          <w:rFonts w:hint="eastAsia"/>
          <w:color w:val="000000"/>
          <w:szCs w:val="21"/>
        </w:rPr>
        <w:t>。</w:t>
      </w:r>
    </w:p>
    <w:p w14:paraId="4C8D9909">
      <w:pPr>
        <w:spacing w:line="360" w:lineRule="auto"/>
        <w:rPr>
          <w:color w:val="000000"/>
          <w:szCs w:val="21"/>
        </w:rPr>
      </w:pPr>
      <w:r>
        <w:rPr>
          <w:rFonts w:hint="eastAsia"/>
          <w:color w:val="000000"/>
          <w:szCs w:val="21"/>
        </w:rPr>
        <w:t>风险范围以外合同价格的调整方法：</w:t>
      </w:r>
      <w:r>
        <w:rPr>
          <w:rFonts w:hint="eastAsia"/>
          <w:color w:val="000000"/>
          <w:szCs w:val="21"/>
          <w:u w:val="single"/>
        </w:rPr>
        <w:t xml:space="preserve">                             </w:t>
      </w:r>
      <w:r>
        <w:rPr>
          <w:rFonts w:hint="eastAsia"/>
          <w:color w:val="000000"/>
          <w:szCs w:val="21"/>
        </w:rPr>
        <w:t>。</w:t>
      </w:r>
    </w:p>
    <w:p w14:paraId="0BAEE2B1">
      <w:pPr>
        <w:spacing w:line="360" w:lineRule="auto"/>
        <w:rPr>
          <w:color w:val="000000"/>
          <w:szCs w:val="21"/>
        </w:rPr>
      </w:pPr>
      <w:r>
        <w:rPr>
          <w:rFonts w:hint="eastAsia"/>
          <w:color w:val="000000"/>
          <w:szCs w:val="21"/>
        </w:rPr>
        <w:t>3、其他价格方式：</w:t>
      </w:r>
      <w:r>
        <w:rPr>
          <w:rFonts w:hint="eastAsia"/>
          <w:color w:val="000000"/>
          <w:szCs w:val="21"/>
          <w:u w:val="single"/>
        </w:rPr>
        <w:t xml:space="preserve">                                     </w:t>
      </w:r>
      <w:r>
        <w:rPr>
          <w:rFonts w:hint="eastAsia"/>
          <w:color w:val="000000"/>
          <w:szCs w:val="21"/>
        </w:rPr>
        <w:t>。</w:t>
      </w:r>
    </w:p>
    <w:p w14:paraId="010A8287">
      <w:pPr>
        <w:spacing w:line="360" w:lineRule="auto"/>
        <w:rPr>
          <w:color w:val="000000"/>
          <w:szCs w:val="21"/>
        </w:rPr>
      </w:pPr>
      <w:bookmarkStart w:id="431" w:name="_Toc303539161"/>
      <w:bookmarkStart w:id="432" w:name="_Toc304295581"/>
      <w:bookmarkStart w:id="433" w:name="_Toc297216213"/>
      <w:bookmarkStart w:id="434" w:name="_Toc297123554"/>
      <w:bookmarkStart w:id="435" w:name="_Toc312678042"/>
      <w:bookmarkStart w:id="436" w:name="_Toc300935004"/>
      <w:bookmarkStart w:id="437" w:name="_Toc292559917"/>
      <w:bookmarkStart w:id="438" w:name="_Toc292559412"/>
      <w:bookmarkStart w:id="439" w:name="_Toc297048393"/>
      <w:bookmarkStart w:id="440" w:name="_Toc296347206"/>
      <w:bookmarkStart w:id="441" w:name="_Toc296891035"/>
      <w:bookmarkStart w:id="442" w:name="_Toc296503207"/>
      <w:bookmarkStart w:id="443" w:name="_Toc296891247"/>
      <w:bookmarkStart w:id="444" w:name="_Toc296944546"/>
      <w:bookmarkStart w:id="445" w:name="_Toc296346708"/>
      <w:bookmarkStart w:id="446" w:name="_Toc297120507"/>
      <w:r>
        <w:rPr>
          <w:rFonts w:hint="eastAsia"/>
          <w:color w:val="000000"/>
          <w:szCs w:val="21"/>
        </w:rPr>
        <w:t>12.2 预付款</w:t>
      </w:r>
    </w:p>
    <w:bookmarkEnd w:id="431"/>
    <w:bookmarkEnd w:id="432"/>
    <w:bookmarkEnd w:id="433"/>
    <w:bookmarkEnd w:id="434"/>
    <w:bookmarkEnd w:id="435"/>
    <w:bookmarkEnd w:id="436"/>
    <w:p w14:paraId="57E4DDAF">
      <w:pPr>
        <w:spacing w:line="360" w:lineRule="auto"/>
        <w:rPr>
          <w:color w:val="000000"/>
          <w:szCs w:val="21"/>
        </w:rPr>
      </w:pPr>
      <w:r>
        <w:rPr>
          <w:rFonts w:hint="eastAsia"/>
          <w:color w:val="000000"/>
          <w:szCs w:val="21"/>
        </w:rPr>
        <w:t>12.2.1 预付款的支付</w:t>
      </w:r>
    </w:p>
    <w:p w14:paraId="02B67F61">
      <w:pPr>
        <w:spacing w:line="360" w:lineRule="auto"/>
        <w:rPr>
          <w:color w:val="000000"/>
          <w:szCs w:val="21"/>
        </w:rPr>
      </w:pPr>
      <w:r>
        <w:rPr>
          <w:rFonts w:hint="eastAsia"/>
          <w:color w:val="000000"/>
          <w:szCs w:val="21"/>
        </w:rPr>
        <w:t>预付款支付比例或金额：</w:t>
      </w:r>
      <w:r>
        <w:rPr>
          <w:rFonts w:hint="eastAsia"/>
          <w:color w:val="000000"/>
          <w:szCs w:val="21"/>
          <w:u w:val="single"/>
        </w:rPr>
        <w:t xml:space="preserve">                                </w:t>
      </w:r>
      <w:r>
        <w:rPr>
          <w:rFonts w:hint="eastAsia"/>
          <w:color w:val="000000"/>
          <w:szCs w:val="21"/>
        </w:rPr>
        <w:t>。</w:t>
      </w:r>
    </w:p>
    <w:p w14:paraId="7FD4CAAB">
      <w:pPr>
        <w:spacing w:line="360" w:lineRule="auto"/>
        <w:rPr>
          <w:color w:val="000000"/>
          <w:szCs w:val="21"/>
        </w:rPr>
      </w:pPr>
      <w:r>
        <w:rPr>
          <w:rFonts w:hint="eastAsia"/>
          <w:color w:val="000000"/>
          <w:szCs w:val="21"/>
        </w:rPr>
        <w:t>预付款支付期限：</w:t>
      </w:r>
      <w:r>
        <w:rPr>
          <w:rFonts w:hint="eastAsia"/>
          <w:color w:val="000000"/>
          <w:szCs w:val="21"/>
          <w:u w:val="single"/>
        </w:rPr>
        <w:t xml:space="preserve">                                      </w:t>
      </w:r>
      <w:r>
        <w:rPr>
          <w:rFonts w:hint="eastAsia"/>
          <w:color w:val="000000"/>
          <w:szCs w:val="21"/>
        </w:rPr>
        <w:t>。</w:t>
      </w:r>
    </w:p>
    <w:p w14:paraId="47A76034">
      <w:pPr>
        <w:spacing w:line="360" w:lineRule="auto"/>
        <w:rPr>
          <w:color w:val="000000"/>
          <w:szCs w:val="21"/>
        </w:rPr>
      </w:pPr>
      <w:r>
        <w:rPr>
          <w:rFonts w:hint="eastAsia"/>
          <w:color w:val="000000"/>
          <w:szCs w:val="21"/>
        </w:rPr>
        <w:t>预付款扣回的方式：</w:t>
      </w:r>
      <w:r>
        <w:rPr>
          <w:rFonts w:hint="eastAsia"/>
          <w:color w:val="000000"/>
          <w:szCs w:val="21"/>
          <w:u w:val="single"/>
        </w:rPr>
        <w:t xml:space="preserve">                                    </w:t>
      </w:r>
      <w:r>
        <w:rPr>
          <w:rFonts w:hint="eastAsia"/>
          <w:color w:val="000000"/>
          <w:szCs w:val="21"/>
        </w:rPr>
        <w:t>。</w:t>
      </w:r>
    </w:p>
    <w:p w14:paraId="5B688965">
      <w:pPr>
        <w:spacing w:line="360" w:lineRule="auto"/>
        <w:rPr>
          <w:color w:val="000000"/>
          <w:szCs w:val="21"/>
        </w:rPr>
      </w:pPr>
      <w:r>
        <w:rPr>
          <w:rFonts w:hint="eastAsia"/>
          <w:color w:val="000000"/>
          <w:szCs w:val="21"/>
        </w:rPr>
        <w:t>12.2.2 预付款担保</w:t>
      </w:r>
    </w:p>
    <w:p w14:paraId="6715E4EA">
      <w:pPr>
        <w:spacing w:line="360" w:lineRule="auto"/>
        <w:rPr>
          <w:color w:val="000000"/>
          <w:szCs w:val="21"/>
        </w:rPr>
      </w:pPr>
      <w:r>
        <w:rPr>
          <w:rFonts w:hint="eastAsia"/>
          <w:color w:val="000000"/>
          <w:szCs w:val="21"/>
        </w:rPr>
        <w:t>承包人提交预付款担保的期限：</w:t>
      </w:r>
      <w:r>
        <w:rPr>
          <w:rFonts w:hint="eastAsia"/>
          <w:color w:val="000000"/>
          <w:szCs w:val="21"/>
          <w:u w:val="single"/>
        </w:rPr>
        <w:t xml:space="preserve">                          </w:t>
      </w:r>
      <w:r>
        <w:rPr>
          <w:rFonts w:hint="eastAsia"/>
          <w:color w:val="000000"/>
          <w:szCs w:val="21"/>
        </w:rPr>
        <w:t>。</w:t>
      </w:r>
    </w:p>
    <w:p w14:paraId="2E1E7309">
      <w:pPr>
        <w:spacing w:line="360" w:lineRule="auto"/>
        <w:rPr>
          <w:color w:val="000000"/>
          <w:szCs w:val="21"/>
        </w:rPr>
      </w:pPr>
      <w:r>
        <w:rPr>
          <w:rFonts w:hint="eastAsia"/>
          <w:color w:val="000000"/>
          <w:szCs w:val="21"/>
        </w:rPr>
        <w:t>预付款担保的形式为：</w:t>
      </w:r>
      <w:r>
        <w:rPr>
          <w:rFonts w:hint="eastAsia"/>
          <w:color w:val="000000"/>
          <w:szCs w:val="21"/>
          <w:u w:val="single"/>
        </w:rPr>
        <w:t xml:space="preserve">                                  </w:t>
      </w:r>
      <w:r>
        <w:rPr>
          <w:rFonts w:hint="eastAsia"/>
          <w:color w:val="000000"/>
          <w:szCs w:val="21"/>
        </w:rPr>
        <w:t>。</w:t>
      </w:r>
    </w:p>
    <w:bookmarkEnd w:id="437"/>
    <w:bookmarkEnd w:id="438"/>
    <w:bookmarkEnd w:id="439"/>
    <w:bookmarkEnd w:id="440"/>
    <w:bookmarkEnd w:id="441"/>
    <w:bookmarkEnd w:id="442"/>
    <w:bookmarkEnd w:id="443"/>
    <w:bookmarkEnd w:id="444"/>
    <w:bookmarkEnd w:id="445"/>
    <w:bookmarkEnd w:id="446"/>
    <w:p w14:paraId="3E30F910">
      <w:pPr>
        <w:spacing w:line="360" w:lineRule="auto"/>
        <w:rPr>
          <w:color w:val="000000"/>
          <w:szCs w:val="21"/>
        </w:rPr>
      </w:pPr>
      <w:r>
        <w:rPr>
          <w:rFonts w:hint="eastAsia"/>
          <w:color w:val="000000"/>
          <w:szCs w:val="21"/>
        </w:rPr>
        <w:t>12.3 计量</w:t>
      </w:r>
    </w:p>
    <w:p w14:paraId="0664547D">
      <w:pPr>
        <w:spacing w:line="360" w:lineRule="auto"/>
        <w:rPr>
          <w:color w:val="000000"/>
          <w:szCs w:val="21"/>
        </w:rPr>
      </w:pPr>
      <w:r>
        <w:rPr>
          <w:rFonts w:hint="eastAsia"/>
          <w:color w:val="000000"/>
          <w:szCs w:val="21"/>
        </w:rPr>
        <w:t>12.3.1 计量原则</w:t>
      </w:r>
    </w:p>
    <w:p w14:paraId="2B4B2F3B">
      <w:pPr>
        <w:spacing w:line="360" w:lineRule="auto"/>
        <w:rPr>
          <w:color w:val="000000"/>
          <w:szCs w:val="21"/>
        </w:rPr>
      </w:pPr>
      <w:r>
        <w:rPr>
          <w:rFonts w:hint="eastAsia"/>
          <w:color w:val="000000"/>
          <w:szCs w:val="21"/>
        </w:rPr>
        <w:t>工程量计算规则：</w:t>
      </w:r>
      <w:r>
        <w:rPr>
          <w:rFonts w:hint="eastAsia"/>
          <w:color w:val="000000"/>
          <w:szCs w:val="21"/>
          <w:u w:val="single"/>
        </w:rPr>
        <w:t xml:space="preserve">                                      </w:t>
      </w:r>
      <w:r>
        <w:rPr>
          <w:rFonts w:hint="eastAsia"/>
          <w:color w:val="000000"/>
          <w:szCs w:val="21"/>
        </w:rPr>
        <w:t>。</w:t>
      </w:r>
    </w:p>
    <w:p w14:paraId="70C8EE1B">
      <w:pPr>
        <w:spacing w:line="360" w:lineRule="auto"/>
        <w:rPr>
          <w:color w:val="000000"/>
          <w:szCs w:val="21"/>
        </w:rPr>
      </w:pPr>
      <w:r>
        <w:rPr>
          <w:rFonts w:hint="eastAsia"/>
          <w:color w:val="000000"/>
          <w:szCs w:val="21"/>
        </w:rPr>
        <w:t>12.3.2 计量周期</w:t>
      </w:r>
    </w:p>
    <w:p w14:paraId="69712D43">
      <w:pPr>
        <w:spacing w:line="360" w:lineRule="auto"/>
        <w:rPr>
          <w:color w:val="000000"/>
          <w:szCs w:val="21"/>
        </w:rPr>
      </w:pPr>
      <w:r>
        <w:rPr>
          <w:rFonts w:hint="eastAsia"/>
          <w:color w:val="000000"/>
          <w:szCs w:val="21"/>
        </w:rPr>
        <w:t>关于计量周期的约定：</w:t>
      </w:r>
      <w:r>
        <w:rPr>
          <w:rFonts w:hint="eastAsia"/>
          <w:color w:val="000000"/>
          <w:szCs w:val="21"/>
          <w:u w:val="single"/>
        </w:rPr>
        <w:t xml:space="preserve">                                  </w:t>
      </w:r>
      <w:r>
        <w:rPr>
          <w:rFonts w:hint="eastAsia"/>
          <w:color w:val="000000"/>
          <w:szCs w:val="21"/>
        </w:rPr>
        <w:t>。</w:t>
      </w:r>
    </w:p>
    <w:p w14:paraId="699169D8">
      <w:pPr>
        <w:spacing w:line="360" w:lineRule="auto"/>
        <w:rPr>
          <w:color w:val="000000"/>
          <w:szCs w:val="21"/>
        </w:rPr>
      </w:pPr>
      <w:r>
        <w:rPr>
          <w:rFonts w:hint="eastAsia"/>
          <w:color w:val="000000"/>
          <w:szCs w:val="21"/>
        </w:rPr>
        <w:t>12.3.3 单价合同的计量</w:t>
      </w:r>
    </w:p>
    <w:p w14:paraId="03FB8DA6">
      <w:pPr>
        <w:spacing w:line="360" w:lineRule="auto"/>
        <w:rPr>
          <w:color w:val="000000"/>
          <w:szCs w:val="21"/>
        </w:rPr>
      </w:pPr>
      <w:r>
        <w:rPr>
          <w:rFonts w:hint="eastAsia"/>
          <w:color w:val="000000"/>
          <w:szCs w:val="21"/>
        </w:rPr>
        <w:t>关于单价合同计量的约定：</w:t>
      </w:r>
      <w:r>
        <w:rPr>
          <w:rFonts w:hint="eastAsia"/>
          <w:color w:val="000000"/>
          <w:szCs w:val="21"/>
          <w:u w:val="single"/>
        </w:rPr>
        <w:t xml:space="preserve">                              </w:t>
      </w:r>
      <w:r>
        <w:rPr>
          <w:rFonts w:hint="eastAsia"/>
          <w:color w:val="000000"/>
          <w:szCs w:val="21"/>
        </w:rPr>
        <w:t>。</w:t>
      </w:r>
    </w:p>
    <w:p w14:paraId="4AF9E9CC">
      <w:pPr>
        <w:spacing w:line="360" w:lineRule="auto"/>
        <w:rPr>
          <w:color w:val="000000"/>
          <w:szCs w:val="21"/>
        </w:rPr>
      </w:pPr>
      <w:r>
        <w:rPr>
          <w:rFonts w:hint="eastAsia"/>
          <w:color w:val="000000"/>
          <w:szCs w:val="21"/>
        </w:rPr>
        <w:t>12.3.4 总价合同的计量</w:t>
      </w:r>
    </w:p>
    <w:p w14:paraId="13103B20">
      <w:pPr>
        <w:spacing w:line="360" w:lineRule="auto"/>
        <w:rPr>
          <w:color w:val="000000"/>
          <w:szCs w:val="21"/>
        </w:rPr>
      </w:pPr>
      <w:r>
        <w:rPr>
          <w:rFonts w:hint="eastAsia"/>
          <w:color w:val="000000"/>
          <w:szCs w:val="21"/>
        </w:rPr>
        <w:t>关于总价合同计量的约定：</w:t>
      </w:r>
      <w:r>
        <w:rPr>
          <w:rFonts w:hint="eastAsia"/>
          <w:color w:val="000000"/>
          <w:szCs w:val="21"/>
          <w:u w:val="single"/>
        </w:rPr>
        <w:t xml:space="preserve">                              </w:t>
      </w:r>
      <w:r>
        <w:rPr>
          <w:rFonts w:hint="eastAsia"/>
          <w:color w:val="000000"/>
          <w:szCs w:val="21"/>
        </w:rPr>
        <w:t>。</w:t>
      </w:r>
    </w:p>
    <w:p w14:paraId="69012F18">
      <w:pPr>
        <w:spacing w:line="360" w:lineRule="auto"/>
        <w:rPr>
          <w:color w:val="000000"/>
          <w:szCs w:val="21"/>
        </w:rPr>
      </w:pPr>
      <w:r>
        <w:rPr>
          <w:rFonts w:hint="eastAsia"/>
          <w:color w:val="000000"/>
          <w:szCs w:val="21"/>
        </w:rPr>
        <w:t>12.3.5总价合同采用支付分解表计量支付的，是否适用第12.3.4 项〔总价合同的计量〕约定进行计量：</w:t>
      </w:r>
      <w:r>
        <w:rPr>
          <w:rFonts w:hint="eastAsia"/>
          <w:color w:val="000000"/>
          <w:szCs w:val="21"/>
          <w:u w:val="single"/>
        </w:rPr>
        <w:t xml:space="preserve">                     </w:t>
      </w:r>
      <w:r>
        <w:rPr>
          <w:rFonts w:hint="eastAsia"/>
          <w:color w:val="000000"/>
          <w:szCs w:val="21"/>
        </w:rPr>
        <w:t>。</w:t>
      </w:r>
    </w:p>
    <w:p w14:paraId="53FF6BC5">
      <w:pPr>
        <w:spacing w:line="360" w:lineRule="auto"/>
        <w:rPr>
          <w:color w:val="000000"/>
          <w:szCs w:val="21"/>
        </w:rPr>
      </w:pPr>
      <w:r>
        <w:rPr>
          <w:rFonts w:hint="eastAsia"/>
          <w:color w:val="000000"/>
          <w:szCs w:val="21"/>
        </w:rPr>
        <w:t>12.3.6 其他价格形式合同的计量</w:t>
      </w:r>
    </w:p>
    <w:p w14:paraId="34EE6BB6">
      <w:pPr>
        <w:spacing w:line="360" w:lineRule="auto"/>
        <w:rPr>
          <w:color w:val="000000"/>
          <w:szCs w:val="21"/>
        </w:rPr>
      </w:pPr>
      <w:r>
        <w:rPr>
          <w:rFonts w:hint="eastAsia"/>
          <w:color w:val="000000"/>
          <w:szCs w:val="21"/>
        </w:rPr>
        <w:t>其他价格形式的计量方式和程序：</w:t>
      </w:r>
      <w:r>
        <w:rPr>
          <w:rFonts w:hint="eastAsia"/>
          <w:color w:val="000000"/>
          <w:szCs w:val="21"/>
          <w:u w:val="single"/>
        </w:rPr>
        <w:t xml:space="preserve">                                       </w:t>
      </w:r>
      <w:r>
        <w:rPr>
          <w:rFonts w:hint="eastAsia"/>
          <w:color w:val="000000"/>
          <w:szCs w:val="21"/>
        </w:rPr>
        <w:t>。</w:t>
      </w:r>
    </w:p>
    <w:p w14:paraId="2D3267A6">
      <w:pPr>
        <w:spacing w:line="360" w:lineRule="auto"/>
        <w:rPr>
          <w:color w:val="000000"/>
          <w:szCs w:val="21"/>
        </w:rPr>
      </w:pPr>
      <w:r>
        <w:rPr>
          <w:rFonts w:hint="eastAsia"/>
          <w:color w:val="000000"/>
          <w:szCs w:val="21"/>
        </w:rPr>
        <w:t>12.4 工程进度款支付</w:t>
      </w:r>
    </w:p>
    <w:p w14:paraId="613268F6">
      <w:pPr>
        <w:spacing w:line="360" w:lineRule="auto"/>
        <w:rPr>
          <w:color w:val="000000"/>
          <w:szCs w:val="21"/>
        </w:rPr>
      </w:pPr>
      <w:bookmarkStart w:id="447" w:name="_Toc297216215"/>
      <w:bookmarkStart w:id="448" w:name="_Toc303539163"/>
      <w:bookmarkStart w:id="449" w:name="_Toc296944550"/>
      <w:bookmarkStart w:id="450" w:name="_Toc296347210"/>
      <w:bookmarkStart w:id="451" w:name="_Toc297123556"/>
      <w:bookmarkStart w:id="452" w:name="_Toc296346712"/>
      <w:bookmarkStart w:id="453" w:name="_Toc300935006"/>
      <w:bookmarkStart w:id="454" w:name="_Toc292559921"/>
      <w:bookmarkStart w:id="455" w:name="_Toc292559416"/>
      <w:bookmarkStart w:id="456" w:name="_Toc296503211"/>
      <w:bookmarkStart w:id="457" w:name="_Toc297048397"/>
      <w:bookmarkStart w:id="458" w:name="_Toc297120511"/>
      <w:bookmarkStart w:id="459" w:name="_Toc296891039"/>
      <w:bookmarkStart w:id="460" w:name="_Toc296891251"/>
      <w:r>
        <w:rPr>
          <w:rFonts w:hint="eastAsia"/>
          <w:color w:val="000000"/>
          <w:szCs w:val="21"/>
        </w:rPr>
        <w:t>12.4.1 付款周期</w:t>
      </w:r>
    </w:p>
    <w:p w14:paraId="192A6B9D">
      <w:pPr>
        <w:adjustRightInd w:val="0"/>
        <w:spacing w:before="50" w:line="360" w:lineRule="auto"/>
        <w:ind w:right="35" w:firstLine="440" w:firstLineChars="200"/>
        <w:rPr>
          <w:szCs w:val="21"/>
          <w:u w:val="single"/>
        </w:rPr>
      </w:pPr>
      <w:r>
        <w:rPr>
          <w:rFonts w:hint="eastAsia"/>
          <w:color w:val="000000"/>
          <w:szCs w:val="21"/>
        </w:rPr>
        <w:t>关于付款周期的约定</w:t>
      </w:r>
      <w:r>
        <w:rPr>
          <w:rFonts w:hint="eastAsia"/>
          <w:szCs w:val="21"/>
        </w:rPr>
        <w:t xml:space="preserve">： </w:t>
      </w:r>
      <w:r>
        <w:rPr>
          <w:rFonts w:hint="eastAsia"/>
          <w:szCs w:val="21"/>
          <w:u w:val="single"/>
        </w:rPr>
        <w:t xml:space="preserve">                                        </w:t>
      </w:r>
      <w:r>
        <w:rPr>
          <w:rFonts w:hint="eastAsia"/>
          <w:szCs w:val="21"/>
        </w:rPr>
        <w:t>。</w:t>
      </w:r>
    </w:p>
    <w:p w14:paraId="413F2326">
      <w:pPr>
        <w:spacing w:line="360" w:lineRule="auto"/>
        <w:rPr>
          <w:color w:val="000000"/>
          <w:szCs w:val="21"/>
        </w:rPr>
      </w:pPr>
      <w:r>
        <w:rPr>
          <w:rFonts w:hint="eastAsia"/>
          <w:szCs w:val="21"/>
        </w:rPr>
        <w:t>12.4.2 进度付款申请单的编制</w:t>
      </w:r>
    </w:p>
    <w:p w14:paraId="4EC9D6FD">
      <w:pPr>
        <w:spacing w:line="360" w:lineRule="auto"/>
        <w:rPr>
          <w:color w:val="000000"/>
          <w:szCs w:val="21"/>
        </w:rPr>
      </w:pPr>
      <w:r>
        <w:rPr>
          <w:rFonts w:hint="eastAsia"/>
          <w:color w:val="000000"/>
          <w:szCs w:val="21"/>
        </w:rPr>
        <w:t>关于进度付款申请单编制的约定：</w:t>
      </w:r>
      <w:r>
        <w:rPr>
          <w:rFonts w:hint="eastAsia"/>
          <w:color w:val="000000"/>
          <w:szCs w:val="21"/>
          <w:u w:val="single"/>
        </w:rPr>
        <w:t xml:space="preserve">                              </w:t>
      </w:r>
      <w:r>
        <w:rPr>
          <w:rFonts w:hint="eastAsia"/>
          <w:color w:val="000000"/>
          <w:szCs w:val="21"/>
        </w:rPr>
        <w:t>。</w:t>
      </w:r>
    </w:p>
    <w:p w14:paraId="28BD33EA">
      <w:pPr>
        <w:spacing w:line="360" w:lineRule="auto"/>
        <w:rPr>
          <w:color w:val="000000"/>
          <w:szCs w:val="21"/>
        </w:rPr>
      </w:pPr>
      <w:r>
        <w:rPr>
          <w:rFonts w:hint="eastAsia"/>
          <w:color w:val="000000"/>
          <w:szCs w:val="21"/>
        </w:rPr>
        <w:t>1</w:t>
      </w:r>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r>
        <w:rPr>
          <w:rFonts w:hint="eastAsia"/>
          <w:color w:val="000000"/>
          <w:szCs w:val="21"/>
        </w:rPr>
        <w:t>2.4.3 进度付款申请单的提交</w:t>
      </w:r>
    </w:p>
    <w:p w14:paraId="2E4397F5">
      <w:pPr>
        <w:spacing w:line="360" w:lineRule="auto"/>
        <w:rPr>
          <w:color w:val="000000"/>
          <w:szCs w:val="21"/>
        </w:rPr>
      </w:pPr>
      <w:r>
        <w:rPr>
          <w:rFonts w:hint="eastAsia"/>
          <w:color w:val="000000"/>
          <w:szCs w:val="21"/>
        </w:rPr>
        <w:t>（1）单价合同进度付款申请单提交的约定：</w:t>
      </w:r>
      <w:r>
        <w:rPr>
          <w:rFonts w:hint="eastAsia"/>
          <w:color w:val="000000"/>
          <w:szCs w:val="21"/>
          <w:u w:val="single"/>
        </w:rPr>
        <w:t xml:space="preserve">               </w:t>
      </w:r>
      <w:r>
        <w:rPr>
          <w:rFonts w:hint="eastAsia"/>
          <w:color w:val="000000"/>
          <w:szCs w:val="21"/>
        </w:rPr>
        <w:t>。</w:t>
      </w:r>
    </w:p>
    <w:p w14:paraId="4400B086">
      <w:pPr>
        <w:spacing w:line="360" w:lineRule="auto"/>
        <w:rPr>
          <w:color w:val="000000"/>
          <w:szCs w:val="21"/>
        </w:rPr>
      </w:pPr>
      <w:r>
        <w:rPr>
          <w:rFonts w:hint="eastAsia"/>
          <w:color w:val="000000"/>
          <w:szCs w:val="21"/>
        </w:rPr>
        <w:t>（2）总价合同进度付款申请单提交的约定：</w:t>
      </w:r>
      <w:r>
        <w:rPr>
          <w:rFonts w:hint="eastAsia"/>
          <w:color w:val="000000"/>
          <w:szCs w:val="21"/>
          <w:u w:val="single"/>
        </w:rPr>
        <w:t xml:space="preserve">               </w:t>
      </w:r>
      <w:r>
        <w:rPr>
          <w:rFonts w:hint="eastAsia"/>
          <w:color w:val="000000"/>
          <w:szCs w:val="21"/>
        </w:rPr>
        <w:t>。</w:t>
      </w:r>
    </w:p>
    <w:p w14:paraId="171987D8">
      <w:pPr>
        <w:spacing w:line="360" w:lineRule="auto"/>
        <w:rPr>
          <w:color w:val="000000"/>
          <w:szCs w:val="21"/>
        </w:rPr>
      </w:pPr>
      <w:r>
        <w:rPr>
          <w:rFonts w:hint="eastAsia"/>
          <w:color w:val="000000"/>
          <w:szCs w:val="21"/>
        </w:rPr>
        <w:t>（3）其他价格形式合同进度付款申请单提交的约定：</w:t>
      </w:r>
      <w:r>
        <w:rPr>
          <w:rFonts w:hint="eastAsia"/>
          <w:color w:val="000000"/>
          <w:szCs w:val="21"/>
          <w:u w:val="single"/>
        </w:rPr>
        <w:t xml:space="preserve">            </w:t>
      </w:r>
      <w:r>
        <w:rPr>
          <w:rFonts w:hint="eastAsia"/>
          <w:color w:val="000000"/>
          <w:szCs w:val="21"/>
        </w:rPr>
        <w:t>。</w:t>
      </w:r>
    </w:p>
    <w:p w14:paraId="4E0A04E8">
      <w:pPr>
        <w:spacing w:line="360" w:lineRule="auto"/>
        <w:rPr>
          <w:color w:val="000000"/>
          <w:szCs w:val="21"/>
        </w:rPr>
      </w:pPr>
      <w:r>
        <w:rPr>
          <w:rFonts w:hint="eastAsia"/>
          <w:color w:val="000000"/>
          <w:szCs w:val="21"/>
        </w:rPr>
        <w:t>12.4.4 进度款审核和支付</w:t>
      </w:r>
    </w:p>
    <w:p w14:paraId="18135361">
      <w:pPr>
        <w:spacing w:line="360" w:lineRule="auto"/>
        <w:rPr>
          <w:color w:val="000000"/>
          <w:szCs w:val="21"/>
          <w:u w:val="single"/>
        </w:rPr>
      </w:pPr>
      <w:r>
        <w:rPr>
          <w:rFonts w:hint="eastAsia"/>
          <w:color w:val="000000"/>
          <w:szCs w:val="21"/>
        </w:rPr>
        <w:t>（1）监理人审查并报送发包人的期限：</w:t>
      </w:r>
      <w:r>
        <w:rPr>
          <w:rFonts w:hint="eastAsia"/>
          <w:color w:val="000000"/>
          <w:szCs w:val="21"/>
          <w:u w:val="single"/>
        </w:rPr>
        <w:t xml:space="preserve">                  </w:t>
      </w:r>
      <w:r>
        <w:rPr>
          <w:rFonts w:hint="eastAsia"/>
          <w:color w:val="000000"/>
          <w:szCs w:val="21"/>
        </w:rPr>
        <w:t>。</w:t>
      </w:r>
    </w:p>
    <w:p w14:paraId="6B0A49D7">
      <w:pPr>
        <w:spacing w:line="360" w:lineRule="auto"/>
        <w:rPr>
          <w:color w:val="000000"/>
          <w:szCs w:val="21"/>
        </w:rPr>
      </w:pPr>
      <w:r>
        <w:rPr>
          <w:rFonts w:hint="eastAsia"/>
          <w:color w:val="000000"/>
          <w:szCs w:val="21"/>
        </w:rPr>
        <w:t>发包人完成审批并签发进度款支付证书的期限：</w:t>
      </w:r>
      <w:r>
        <w:rPr>
          <w:rFonts w:hint="eastAsia"/>
          <w:color w:val="000000"/>
          <w:szCs w:val="21"/>
          <w:u w:val="single"/>
        </w:rPr>
        <w:t xml:space="preserve">                   </w:t>
      </w:r>
      <w:r>
        <w:rPr>
          <w:rFonts w:hint="eastAsia"/>
          <w:color w:val="000000"/>
          <w:szCs w:val="21"/>
        </w:rPr>
        <w:t>。</w:t>
      </w:r>
    </w:p>
    <w:p w14:paraId="36967CC1">
      <w:pPr>
        <w:spacing w:line="360" w:lineRule="auto"/>
        <w:rPr>
          <w:color w:val="000000"/>
          <w:szCs w:val="21"/>
        </w:rPr>
      </w:pPr>
      <w:r>
        <w:rPr>
          <w:rFonts w:hint="eastAsia"/>
          <w:color w:val="000000"/>
          <w:szCs w:val="21"/>
        </w:rPr>
        <w:t>（2）发包人支付进度款的期限：</w:t>
      </w:r>
      <w:r>
        <w:rPr>
          <w:rFonts w:hint="eastAsia"/>
          <w:color w:val="000000"/>
          <w:szCs w:val="21"/>
          <w:u w:val="single"/>
        </w:rPr>
        <w:t xml:space="preserve">                        </w:t>
      </w:r>
      <w:r>
        <w:rPr>
          <w:rFonts w:hint="eastAsia"/>
          <w:color w:val="000000"/>
          <w:szCs w:val="21"/>
        </w:rPr>
        <w:t>。</w:t>
      </w:r>
    </w:p>
    <w:p w14:paraId="391C2007">
      <w:pPr>
        <w:spacing w:line="360" w:lineRule="auto"/>
        <w:rPr>
          <w:color w:val="000000"/>
          <w:szCs w:val="21"/>
        </w:rPr>
      </w:pPr>
      <w:r>
        <w:rPr>
          <w:rFonts w:hint="eastAsia"/>
          <w:color w:val="000000"/>
          <w:szCs w:val="21"/>
        </w:rPr>
        <w:t>发包人逾期支付进度款的违约金的计算方式：</w:t>
      </w:r>
      <w:r>
        <w:rPr>
          <w:rFonts w:hint="eastAsia"/>
          <w:color w:val="000000"/>
          <w:szCs w:val="21"/>
          <w:u w:val="single"/>
        </w:rPr>
        <w:t xml:space="preserve">                  </w:t>
      </w:r>
      <w:r>
        <w:rPr>
          <w:rFonts w:hint="eastAsia"/>
          <w:color w:val="000000"/>
          <w:szCs w:val="21"/>
        </w:rPr>
        <w:t>。</w:t>
      </w:r>
    </w:p>
    <w:p w14:paraId="212DB0CA">
      <w:pPr>
        <w:spacing w:line="360" w:lineRule="auto"/>
        <w:rPr>
          <w:color w:val="000000"/>
          <w:szCs w:val="21"/>
        </w:rPr>
      </w:pPr>
      <w:r>
        <w:rPr>
          <w:rFonts w:hint="eastAsia"/>
          <w:color w:val="000000"/>
          <w:szCs w:val="21"/>
        </w:rPr>
        <w:t>12.4.6 支付分解表的编制</w:t>
      </w:r>
    </w:p>
    <w:p w14:paraId="3CAD617D">
      <w:pPr>
        <w:spacing w:line="360" w:lineRule="auto"/>
        <w:rPr>
          <w:color w:val="000000"/>
          <w:szCs w:val="21"/>
        </w:rPr>
      </w:pPr>
      <w:r>
        <w:rPr>
          <w:rFonts w:hint="eastAsia"/>
          <w:color w:val="000000"/>
          <w:szCs w:val="21"/>
        </w:rPr>
        <w:t>2、总价合同支付分解表的编制与审批：</w:t>
      </w:r>
      <w:r>
        <w:rPr>
          <w:rFonts w:hint="eastAsia"/>
          <w:color w:val="000000"/>
          <w:szCs w:val="21"/>
          <w:u w:val="single"/>
        </w:rPr>
        <w:t xml:space="preserve">                        </w:t>
      </w:r>
      <w:r>
        <w:rPr>
          <w:rFonts w:hint="eastAsia"/>
          <w:color w:val="000000"/>
          <w:szCs w:val="21"/>
        </w:rPr>
        <w:t>。</w:t>
      </w:r>
    </w:p>
    <w:p w14:paraId="771955F6">
      <w:pPr>
        <w:spacing w:line="360" w:lineRule="auto"/>
        <w:rPr>
          <w:color w:val="000000"/>
          <w:szCs w:val="21"/>
        </w:rPr>
      </w:pPr>
      <w:r>
        <w:rPr>
          <w:rFonts w:hint="eastAsia"/>
          <w:color w:val="000000"/>
          <w:szCs w:val="21"/>
        </w:rPr>
        <w:t>3、单价合同的总价项目支付分解表的编制与审批：</w:t>
      </w:r>
      <w:r>
        <w:rPr>
          <w:rFonts w:hint="eastAsia"/>
          <w:color w:val="000000"/>
          <w:szCs w:val="21"/>
          <w:u w:val="single"/>
        </w:rPr>
        <w:t xml:space="preserve">               </w:t>
      </w:r>
      <w:r>
        <w:rPr>
          <w:rFonts w:hint="eastAsia"/>
          <w:color w:val="000000"/>
          <w:szCs w:val="21"/>
        </w:rPr>
        <w:t>。</w:t>
      </w:r>
    </w:p>
    <w:bookmarkEnd w:id="290"/>
    <w:p w14:paraId="3ACA1CB1">
      <w:pPr>
        <w:adjustRightInd w:val="0"/>
        <w:spacing w:line="360" w:lineRule="auto"/>
        <w:rPr>
          <w:color w:val="000000"/>
          <w:szCs w:val="21"/>
        </w:rPr>
      </w:pPr>
      <w:bookmarkStart w:id="461" w:name="_Toc351203645"/>
      <w:bookmarkStart w:id="462" w:name="_Toc292559424"/>
      <w:bookmarkStart w:id="463" w:name="_Toc297216223"/>
      <w:bookmarkStart w:id="464" w:name="_Toc303539172"/>
      <w:bookmarkStart w:id="465" w:name="_Toc297048405"/>
      <w:bookmarkStart w:id="466" w:name="_Toc300935015"/>
      <w:bookmarkStart w:id="467" w:name="_Toc304295593"/>
      <w:bookmarkStart w:id="468" w:name="_Toc296891259"/>
      <w:bookmarkStart w:id="469" w:name="_Toc312678053"/>
      <w:bookmarkStart w:id="470" w:name="_Toc296944558"/>
      <w:bookmarkStart w:id="471" w:name="_Toc297120519"/>
      <w:bookmarkStart w:id="472" w:name="_Toc296347218"/>
      <w:bookmarkStart w:id="473" w:name="_Toc296891047"/>
      <w:bookmarkStart w:id="474" w:name="_Toc296503219"/>
      <w:bookmarkStart w:id="475" w:name="_Toc296346720"/>
      <w:bookmarkStart w:id="476" w:name="_Toc297123564"/>
      <w:bookmarkStart w:id="477" w:name="_Toc292559929"/>
      <w:r>
        <w:rPr>
          <w:rFonts w:hint="eastAsia"/>
          <w:color w:val="000000"/>
          <w:szCs w:val="21"/>
        </w:rPr>
        <w:t>13. 验收和工程试车</w:t>
      </w:r>
      <w:bookmarkEnd w:id="461"/>
    </w:p>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p w14:paraId="2CFEEEB5">
      <w:pPr>
        <w:spacing w:line="360" w:lineRule="auto"/>
        <w:rPr>
          <w:color w:val="000000"/>
          <w:szCs w:val="21"/>
        </w:rPr>
      </w:pPr>
      <w:r>
        <w:rPr>
          <w:rFonts w:hint="eastAsia"/>
          <w:color w:val="000000"/>
          <w:szCs w:val="21"/>
        </w:rPr>
        <w:t>13.1 分部分项工程验收</w:t>
      </w:r>
    </w:p>
    <w:p w14:paraId="1BA64541">
      <w:pPr>
        <w:spacing w:line="360" w:lineRule="auto"/>
        <w:rPr>
          <w:szCs w:val="21"/>
        </w:rPr>
      </w:pPr>
      <w:r>
        <w:rPr>
          <w:rFonts w:hint="eastAsia"/>
          <w:szCs w:val="21"/>
        </w:rPr>
        <w:t>13.1.2监理人不能按时进行验收时，应提前</w:t>
      </w:r>
      <w:r>
        <w:rPr>
          <w:rFonts w:hint="eastAsia"/>
          <w:szCs w:val="21"/>
          <w:u w:val="single"/>
        </w:rPr>
        <w:t xml:space="preserve">       </w:t>
      </w:r>
      <w:r>
        <w:rPr>
          <w:rFonts w:hint="eastAsia"/>
          <w:szCs w:val="21"/>
        </w:rPr>
        <w:t>小时提交书面延期要求。</w:t>
      </w:r>
    </w:p>
    <w:p w14:paraId="03FFDCC9">
      <w:pPr>
        <w:spacing w:line="360" w:lineRule="auto"/>
        <w:rPr>
          <w:b/>
          <w:color w:val="000000"/>
          <w:szCs w:val="21"/>
        </w:rPr>
      </w:pPr>
      <w:r>
        <w:rPr>
          <w:rFonts w:hint="eastAsia"/>
          <w:szCs w:val="21"/>
        </w:rPr>
        <w:t xml:space="preserve">  关于延期最长不得超过：</w:t>
      </w:r>
      <w:r>
        <w:rPr>
          <w:rFonts w:hint="eastAsia"/>
          <w:szCs w:val="21"/>
          <w:u w:val="single"/>
        </w:rPr>
        <w:t xml:space="preserve">         </w:t>
      </w:r>
      <w:r>
        <w:rPr>
          <w:rFonts w:hint="eastAsia"/>
          <w:szCs w:val="21"/>
        </w:rPr>
        <w:t>小时。</w:t>
      </w:r>
    </w:p>
    <w:p w14:paraId="555AF8CE">
      <w:pPr>
        <w:spacing w:line="360" w:lineRule="auto"/>
        <w:rPr>
          <w:color w:val="000000"/>
          <w:szCs w:val="21"/>
        </w:rPr>
      </w:pPr>
      <w:bookmarkStart w:id="478" w:name="_Toc297120523"/>
      <w:bookmarkStart w:id="479" w:name="_Toc296503223"/>
      <w:bookmarkStart w:id="480" w:name="_Toc297123565"/>
      <w:bookmarkStart w:id="481" w:name="_Toc312678056"/>
      <w:bookmarkStart w:id="482" w:name="_Toc296346724"/>
      <w:bookmarkStart w:id="483" w:name="_Toc296891263"/>
      <w:bookmarkStart w:id="484" w:name="_Toc292559428"/>
      <w:bookmarkStart w:id="485" w:name="_Toc304295596"/>
      <w:bookmarkStart w:id="486" w:name="_Toc292559933"/>
      <w:bookmarkStart w:id="487" w:name="_Toc296347222"/>
      <w:bookmarkStart w:id="488" w:name="_Toc296891051"/>
      <w:bookmarkStart w:id="489" w:name="_Toc297048409"/>
      <w:bookmarkStart w:id="490" w:name="_Toc296944562"/>
      <w:bookmarkStart w:id="491" w:name="_Toc297216224"/>
      <w:bookmarkStart w:id="492" w:name="_Toc300935016"/>
      <w:bookmarkStart w:id="493" w:name="_Toc303539173"/>
      <w:bookmarkStart w:id="494" w:name="_Toc267251476"/>
      <w:bookmarkStart w:id="495" w:name="_Toc267251475"/>
      <w:bookmarkStart w:id="496" w:name="_Toc267251470"/>
      <w:bookmarkStart w:id="497" w:name="_Toc267251473"/>
      <w:bookmarkStart w:id="498" w:name="_Toc267251471"/>
      <w:bookmarkStart w:id="499" w:name="_Toc267251472"/>
      <w:bookmarkStart w:id="500" w:name="_Toc267251474"/>
      <w:r>
        <w:rPr>
          <w:rFonts w:hint="eastAsia"/>
          <w:color w:val="000000"/>
          <w:szCs w:val="21"/>
        </w:rPr>
        <w:t>13.2 竣工验收</w:t>
      </w:r>
    </w:p>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p w14:paraId="415D95D8">
      <w:pPr>
        <w:spacing w:line="360" w:lineRule="auto"/>
        <w:rPr>
          <w:color w:val="000000"/>
          <w:szCs w:val="21"/>
        </w:rPr>
      </w:pPr>
      <w:bookmarkStart w:id="501" w:name="_Toc280868704"/>
      <w:bookmarkStart w:id="502" w:name="_Toc280868705"/>
      <w:bookmarkStart w:id="503" w:name="_Toc280868706"/>
      <w:bookmarkStart w:id="504" w:name="_Toc280868707"/>
      <w:bookmarkStart w:id="505" w:name="_Toc280868708"/>
      <w:bookmarkStart w:id="506" w:name="_Toc280868709"/>
      <w:r>
        <w:rPr>
          <w:rFonts w:hint="eastAsia"/>
          <w:color w:val="000000"/>
          <w:szCs w:val="21"/>
        </w:rPr>
        <w:t>13.2.2竣工验收程序</w:t>
      </w:r>
    </w:p>
    <w:bookmarkEnd w:id="501"/>
    <w:p w14:paraId="66BCCCAB">
      <w:pPr>
        <w:spacing w:line="360" w:lineRule="auto"/>
        <w:rPr>
          <w:color w:val="000000"/>
          <w:szCs w:val="21"/>
        </w:rPr>
      </w:pPr>
      <w:r>
        <w:rPr>
          <w:rFonts w:hint="eastAsia"/>
          <w:color w:val="000000"/>
          <w:szCs w:val="21"/>
        </w:rPr>
        <w:t>关于竣工验收程序的约定：</w:t>
      </w:r>
      <w:r>
        <w:rPr>
          <w:rFonts w:hint="eastAsia"/>
          <w:color w:val="000000"/>
          <w:szCs w:val="21"/>
          <w:u w:val="single"/>
        </w:rPr>
        <w:t xml:space="preserve">                                 </w:t>
      </w:r>
      <w:r>
        <w:rPr>
          <w:rFonts w:hint="eastAsia"/>
          <w:color w:val="000000"/>
          <w:szCs w:val="21"/>
        </w:rPr>
        <w:t>。</w:t>
      </w:r>
    </w:p>
    <w:p w14:paraId="19E96F9D">
      <w:pPr>
        <w:spacing w:line="360" w:lineRule="auto"/>
        <w:rPr>
          <w:color w:val="000000"/>
          <w:szCs w:val="21"/>
        </w:rPr>
      </w:pPr>
      <w:r>
        <w:rPr>
          <w:rFonts w:hint="eastAsia"/>
          <w:color w:val="000000"/>
          <w:szCs w:val="21"/>
        </w:rPr>
        <w:t>发包人不按照本项约定组织竣工验收、颁发工程接收证书的违约金的计算方法：</w:t>
      </w:r>
      <w:r>
        <w:rPr>
          <w:rFonts w:hint="eastAsia"/>
          <w:color w:val="000000"/>
          <w:szCs w:val="21"/>
          <w:u w:val="single"/>
        </w:rPr>
        <w:t xml:space="preserve">       </w:t>
      </w:r>
      <w:r>
        <w:rPr>
          <w:rFonts w:hint="eastAsia"/>
          <w:color w:val="000000"/>
          <w:szCs w:val="21"/>
        </w:rPr>
        <w:t>。</w:t>
      </w:r>
    </w:p>
    <w:bookmarkEnd w:id="502"/>
    <w:p w14:paraId="5979BC28">
      <w:pPr>
        <w:spacing w:line="360" w:lineRule="auto"/>
        <w:rPr>
          <w:color w:val="000000"/>
          <w:szCs w:val="21"/>
        </w:rPr>
      </w:pPr>
      <w:r>
        <w:rPr>
          <w:rFonts w:hint="eastAsia"/>
          <w:color w:val="000000"/>
          <w:szCs w:val="21"/>
        </w:rPr>
        <w:t>13.2.5移交、接收全部与部分工程</w:t>
      </w:r>
      <w:bookmarkEnd w:id="503"/>
    </w:p>
    <w:p w14:paraId="31CA7B16">
      <w:pPr>
        <w:spacing w:line="360" w:lineRule="auto"/>
        <w:rPr>
          <w:color w:val="000000"/>
          <w:szCs w:val="21"/>
        </w:rPr>
      </w:pPr>
      <w:r>
        <w:rPr>
          <w:rFonts w:hint="eastAsia"/>
          <w:color w:val="000000"/>
          <w:szCs w:val="21"/>
        </w:rPr>
        <w:t>承包人向发包人移交工程的期限：</w:t>
      </w:r>
      <w:r>
        <w:rPr>
          <w:rFonts w:hint="eastAsia"/>
          <w:color w:val="000000"/>
          <w:szCs w:val="21"/>
          <w:u w:val="single"/>
        </w:rPr>
        <w:t xml:space="preserve">                        </w:t>
      </w:r>
      <w:r>
        <w:rPr>
          <w:rFonts w:hint="eastAsia"/>
          <w:color w:val="000000"/>
          <w:szCs w:val="21"/>
        </w:rPr>
        <w:t>。</w:t>
      </w:r>
    </w:p>
    <w:p w14:paraId="6F5EAF1C">
      <w:pPr>
        <w:spacing w:line="360" w:lineRule="auto"/>
        <w:rPr>
          <w:color w:val="000000"/>
          <w:szCs w:val="21"/>
          <w:u w:val="single"/>
        </w:rPr>
      </w:pPr>
      <w:r>
        <w:rPr>
          <w:rFonts w:hint="eastAsia"/>
          <w:color w:val="000000"/>
          <w:szCs w:val="21"/>
        </w:rPr>
        <w:t>发包人未按本合同约定接收全部或部分工程的，违约金的计算方法</w:t>
      </w:r>
      <w:bookmarkEnd w:id="504"/>
      <w:r>
        <w:rPr>
          <w:rFonts w:hint="eastAsia"/>
          <w:color w:val="000000"/>
          <w:szCs w:val="21"/>
        </w:rPr>
        <w:t>为：</w:t>
      </w:r>
      <w:r>
        <w:rPr>
          <w:rFonts w:hint="eastAsia"/>
          <w:color w:val="000000"/>
          <w:szCs w:val="21"/>
          <w:u w:val="single"/>
        </w:rPr>
        <w:t xml:space="preserve">              </w:t>
      </w:r>
      <w:r>
        <w:rPr>
          <w:rFonts w:hint="eastAsia"/>
          <w:color w:val="000000"/>
          <w:szCs w:val="21"/>
        </w:rPr>
        <w:t>。</w:t>
      </w:r>
    </w:p>
    <w:p w14:paraId="0D82FB02">
      <w:pPr>
        <w:spacing w:line="360" w:lineRule="auto"/>
        <w:rPr>
          <w:color w:val="000000"/>
          <w:szCs w:val="21"/>
        </w:rPr>
      </w:pPr>
      <w:r>
        <w:rPr>
          <w:rFonts w:hint="eastAsia"/>
          <w:color w:val="000000"/>
          <w:szCs w:val="21"/>
        </w:rPr>
        <w:t>承包人未按时移交工程的，违约金的计算方法为：</w:t>
      </w:r>
      <w:r>
        <w:rPr>
          <w:rFonts w:hint="eastAsia"/>
          <w:color w:val="000000"/>
          <w:szCs w:val="21"/>
          <w:u w:val="single"/>
        </w:rPr>
        <w:t xml:space="preserve">                </w:t>
      </w:r>
      <w:r>
        <w:rPr>
          <w:rFonts w:hint="eastAsia"/>
          <w:color w:val="000000"/>
          <w:szCs w:val="21"/>
        </w:rPr>
        <w:t>。</w:t>
      </w:r>
    </w:p>
    <w:p w14:paraId="741DD7BA">
      <w:pPr>
        <w:spacing w:line="360" w:lineRule="auto"/>
        <w:rPr>
          <w:color w:val="000000"/>
          <w:szCs w:val="21"/>
        </w:rPr>
      </w:pPr>
      <w:r>
        <w:rPr>
          <w:rFonts w:hint="eastAsia"/>
          <w:color w:val="000000"/>
          <w:szCs w:val="21"/>
        </w:rPr>
        <w:t>13.3 工程试车</w:t>
      </w:r>
    </w:p>
    <w:bookmarkEnd w:id="505"/>
    <w:p w14:paraId="31091FD2">
      <w:pPr>
        <w:spacing w:line="360" w:lineRule="auto"/>
        <w:rPr>
          <w:color w:val="000000"/>
          <w:szCs w:val="21"/>
        </w:rPr>
      </w:pPr>
      <w:r>
        <w:rPr>
          <w:rFonts w:hint="eastAsia"/>
          <w:color w:val="000000"/>
          <w:szCs w:val="21"/>
        </w:rPr>
        <w:t>13.3.1 试车程序</w:t>
      </w:r>
    </w:p>
    <w:p w14:paraId="0C5E2BE3">
      <w:pPr>
        <w:spacing w:line="360" w:lineRule="auto"/>
        <w:rPr>
          <w:color w:val="000000"/>
          <w:szCs w:val="21"/>
        </w:rPr>
      </w:pPr>
      <w:r>
        <w:rPr>
          <w:rFonts w:hint="eastAsia"/>
          <w:color w:val="000000"/>
          <w:szCs w:val="21"/>
        </w:rPr>
        <w:t>工程试车内容：</w:t>
      </w:r>
      <w:r>
        <w:rPr>
          <w:rFonts w:hint="eastAsia"/>
          <w:color w:val="000000"/>
          <w:szCs w:val="21"/>
          <w:u w:val="single"/>
        </w:rPr>
        <w:t xml:space="preserve">                                            </w:t>
      </w:r>
      <w:r>
        <w:rPr>
          <w:rFonts w:hint="eastAsia"/>
          <w:color w:val="000000"/>
          <w:szCs w:val="21"/>
        </w:rPr>
        <w:t>。</w:t>
      </w:r>
    </w:p>
    <w:p w14:paraId="2643BA2A">
      <w:pPr>
        <w:spacing w:line="360" w:lineRule="auto"/>
        <w:rPr>
          <w:color w:val="000000"/>
          <w:szCs w:val="21"/>
        </w:rPr>
      </w:pPr>
      <w:r>
        <w:rPr>
          <w:rFonts w:hint="eastAsia"/>
          <w:color w:val="000000"/>
          <w:szCs w:val="21"/>
        </w:rPr>
        <w:t>（1）单机无负荷试车费用由</w:t>
      </w:r>
      <w:r>
        <w:rPr>
          <w:rFonts w:hint="eastAsia"/>
          <w:color w:val="000000"/>
          <w:szCs w:val="21"/>
          <w:u w:val="single"/>
        </w:rPr>
        <w:t xml:space="preserve">                     </w:t>
      </w:r>
      <w:r>
        <w:rPr>
          <w:rFonts w:hint="eastAsia"/>
          <w:color w:val="000000"/>
          <w:szCs w:val="21"/>
        </w:rPr>
        <w:t>承担；</w:t>
      </w:r>
    </w:p>
    <w:p w14:paraId="0FF150A5">
      <w:pPr>
        <w:spacing w:line="360" w:lineRule="auto"/>
        <w:rPr>
          <w:color w:val="000000"/>
          <w:szCs w:val="21"/>
        </w:rPr>
      </w:pPr>
      <w:r>
        <w:rPr>
          <w:rFonts w:hint="eastAsia"/>
          <w:color w:val="000000"/>
          <w:szCs w:val="21"/>
        </w:rPr>
        <w:t>（2）无负荷联动试车费用由</w:t>
      </w:r>
      <w:r>
        <w:rPr>
          <w:rFonts w:hint="eastAsia"/>
          <w:color w:val="000000"/>
          <w:szCs w:val="21"/>
          <w:u w:val="single"/>
        </w:rPr>
        <w:t xml:space="preserve">                     </w:t>
      </w:r>
      <w:r>
        <w:rPr>
          <w:rFonts w:hint="eastAsia"/>
          <w:color w:val="000000"/>
          <w:szCs w:val="21"/>
        </w:rPr>
        <w:t>承担。</w:t>
      </w:r>
    </w:p>
    <w:p w14:paraId="3F3B2ECD">
      <w:pPr>
        <w:spacing w:line="360" w:lineRule="auto"/>
        <w:rPr>
          <w:color w:val="000000"/>
          <w:szCs w:val="21"/>
        </w:rPr>
      </w:pPr>
      <w:r>
        <w:rPr>
          <w:rFonts w:hint="eastAsia"/>
          <w:color w:val="000000"/>
          <w:szCs w:val="21"/>
        </w:rPr>
        <w:t>13.3.3 投料试车</w:t>
      </w:r>
    </w:p>
    <w:p w14:paraId="4B13CC40">
      <w:pPr>
        <w:spacing w:line="360" w:lineRule="auto"/>
        <w:rPr>
          <w:color w:val="000000"/>
          <w:szCs w:val="21"/>
        </w:rPr>
      </w:pPr>
      <w:r>
        <w:rPr>
          <w:rFonts w:hint="eastAsia"/>
          <w:color w:val="000000"/>
          <w:szCs w:val="21"/>
        </w:rPr>
        <w:t>关于投料试车相关事项的约定：</w:t>
      </w:r>
      <w:r>
        <w:rPr>
          <w:rFonts w:hint="eastAsia"/>
          <w:color w:val="000000"/>
          <w:szCs w:val="21"/>
          <w:u w:val="single"/>
        </w:rPr>
        <w:t xml:space="preserve">                             </w:t>
      </w:r>
      <w:r>
        <w:rPr>
          <w:rFonts w:hint="eastAsia"/>
          <w:color w:val="000000"/>
          <w:szCs w:val="21"/>
        </w:rPr>
        <w:t>。</w:t>
      </w:r>
    </w:p>
    <w:p w14:paraId="19F3C3F9">
      <w:pPr>
        <w:spacing w:line="360" w:lineRule="auto"/>
        <w:rPr>
          <w:color w:val="000000"/>
          <w:szCs w:val="21"/>
        </w:rPr>
      </w:pPr>
      <w:r>
        <w:rPr>
          <w:rFonts w:hint="eastAsia"/>
          <w:color w:val="000000"/>
          <w:szCs w:val="21"/>
        </w:rPr>
        <w:t>13.6 竣工退场</w:t>
      </w:r>
    </w:p>
    <w:p w14:paraId="3FE9B5C2">
      <w:pPr>
        <w:spacing w:line="360" w:lineRule="auto"/>
        <w:rPr>
          <w:color w:val="000000"/>
          <w:szCs w:val="21"/>
        </w:rPr>
      </w:pPr>
      <w:r>
        <w:rPr>
          <w:rFonts w:hint="eastAsia"/>
          <w:color w:val="000000"/>
          <w:szCs w:val="21"/>
        </w:rPr>
        <w:t>13.6.1 竣工退场</w:t>
      </w:r>
    </w:p>
    <w:p w14:paraId="38C63923">
      <w:pPr>
        <w:spacing w:line="360" w:lineRule="auto"/>
        <w:rPr>
          <w:color w:val="000000"/>
          <w:szCs w:val="21"/>
        </w:rPr>
      </w:pPr>
      <w:r>
        <w:rPr>
          <w:rFonts w:hint="eastAsia"/>
          <w:color w:val="000000"/>
          <w:szCs w:val="21"/>
        </w:rPr>
        <w:t>承包人完成竣工退场的期限：</w:t>
      </w:r>
      <w:r>
        <w:rPr>
          <w:rFonts w:hint="eastAsia"/>
          <w:color w:val="000000"/>
          <w:szCs w:val="21"/>
          <w:u w:val="single"/>
        </w:rPr>
        <w:t xml:space="preserve">                            </w:t>
      </w:r>
      <w:r>
        <w:rPr>
          <w:rFonts w:hint="eastAsia"/>
          <w:color w:val="000000"/>
          <w:szCs w:val="21"/>
        </w:rPr>
        <w:t>。</w:t>
      </w:r>
    </w:p>
    <w:p w14:paraId="016460B5">
      <w:pPr>
        <w:adjustRightInd w:val="0"/>
        <w:spacing w:line="360" w:lineRule="auto"/>
        <w:rPr>
          <w:color w:val="000000"/>
          <w:szCs w:val="21"/>
        </w:rPr>
      </w:pPr>
      <w:bookmarkStart w:id="507" w:name="_Toc351203646"/>
      <w:r>
        <w:rPr>
          <w:rFonts w:hint="eastAsia"/>
          <w:color w:val="000000"/>
          <w:szCs w:val="21"/>
        </w:rPr>
        <w:t>14. 竣工结算</w:t>
      </w:r>
      <w:bookmarkEnd w:id="507"/>
    </w:p>
    <w:p w14:paraId="0B8A5EAC">
      <w:pPr>
        <w:spacing w:line="360" w:lineRule="auto"/>
        <w:rPr>
          <w:color w:val="000000"/>
          <w:szCs w:val="21"/>
        </w:rPr>
      </w:pPr>
      <w:r>
        <w:rPr>
          <w:rFonts w:hint="eastAsia"/>
          <w:color w:val="000000"/>
          <w:szCs w:val="21"/>
        </w:rPr>
        <w:t>14.1 竣工结算申请</w:t>
      </w:r>
    </w:p>
    <w:p w14:paraId="211BCD19">
      <w:pPr>
        <w:spacing w:line="360" w:lineRule="auto"/>
        <w:rPr>
          <w:color w:val="000000"/>
          <w:szCs w:val="21"/>
        </w:rPr>
      </w:pPr>
      <w:r>
        <w:rPr>
          <w:rFonts w:hint="eastAsia"/>
          <w:szCs w:val="21"/>
        </w:rPr>
        <w:t>承包人提交竣工结算申请单的期限：</w:t>
      </w:r>
      <w:r>
        <w:rPr>
          <w:rFonts w:hint="eastAsia"/>
          <w:color w:val="000000"/>
          <w:szCs w:val="21"/>
          <w:u w:val="single"/>
        </w:rPr>
        <w:t xml:space="preserve">                    </w:t>
      </w:r>
      <w:r>
        <w:rPr>
          <w:rFonts w:hint="eastAsia"/>
          <w:color w:val="000000"/>
          <w:szCs w:val="21"/>
        </w:rPr>
        <w:t>。</w:t>
      </w:r>
    </w:p>
    <w:p w14:paraId="645BE81D">
      <w:pPr>
        <w:spacing w:line="360" w:lineRule="auto"/>
        <w:rPr>
          <w:szCs w:val="21"/>
        </w:rPr>
      </w:pPr>
      <w:r>
        <w:rPr>
          <w:rFonts w:hint="eastAsia"/>
          <w:color w:val="000000"/>
          <w:szCs w:val="21"/>
        </w:rPr>
        <w:t>竣工结算申请单应包括的内容：</w:t>
      </w:r>
      <w:r>
        <w:rPr>
          <w:rFonts w:hint="eastAsia"/>
          <w:color w:val="000000"/>
          <w:szCs w:val="21"/>
          <w:u w:val="single"/>
        </w:rPr>
        <w:t xml:space="preserve">                            </w:t>
      </w:r>
      <w:r>
        <w:rPr>
          <w:rFonts w:hint="eastAsia"/>
          <w:color w:val="000000"/>
          <w:szCs w:val="21"/>
        </w:rPr>
        <w:t>。</w:t>
      </w:r>
    </w:p>
    <w:p w14:paraId="33CBE253">
      <w:pPr>
        <w:spacing w:line="360" w:lineRule="auto"/>
        <w:rPr>
          <w:color w:val="000000"/>
          <w:szCs w:val="21"/>
        </w:rPr>
      </w:pPr>
      <w:r>
        <w:rPr>
          <w:rFonts w:hint="eastAsia"/>
          <w:color w:val="000000"/>
          <w:szCs w:val="21"/>
        </w:rPr>
        <w:t>14.2 竣工结算审核</w:t>
      </w:r>
    </w:p>
    <w:p w14:paraId="137D6F51">
      <w:pPr>
        <w:spacing w:line="360" w:lineRule="auto"/>
        <w:rPr>
          <w:szCs w:val="21"/>
        </w:rPr>
      </w:pPr>
      <w:r>
        <w:rPr>
          <w:rFonts w:hint="eastAsia"/>
          <w:szCs w:val="21"/>
        </w:rPr>
        <w:t>发包人审批竣工付款申请单的期限：</w:t>
      </w:r>
      <w:r>
        <w:rPr>
          <w:rFonts w:hint="eastAsia"/>
          <w:color w:val="000000"/>
          <w:szCs w:val="21"/>
          <w:u w:val="single"/>
        </w:rPr>
        <w:t xml:space="preserve">                      </w:t>
      </w:r>
      <w:r>
        <w:rPr>
          <w:rFonts w:hint="eastAsia"/>
          <w:color w:val="000000"/>
          <w:szCs w:val="21"/>
        </w:rPr>
        <w:t>。</w:t>
      </w:r>
    </w:p>
    <w:p w14:paraId="1DF3F9CB">
      <w:pPr>
        <w:spacing w:line="360" w:lineRule="auto"/>
        <w:rPr>
          <w:color w:val="000000"/>
          <w:szCs w:val="21"/>
        </w:rPr>
      </w:pPr>
      <w:r>
        <w:rPr>
          <w:rFonts w:hint="eastAsia"/>
          <w:szCs w:val="21"/>
        </w:rPr>
        <w:t>发包人完成竣工付款的期限：</w:t>
      </w:r>
      <w:r>
        <w:rPr>
          <w:rFonts w:hint="eastAsia"/>
          <w:color w:val="000000"/>
          <w:szCs w:val="21"/>
          <w:u w:val="single"/>
        </w:rPr>
        <w:t xml:space="preserve">                            </w:t>
      </w:r>
      <w:r>
        <w:rPr>
          <w:rFonts w:hint="eastAsia"/>
          <w:color w:val="000000"/>
          <w:szCs w:val="21"/>
        </w:rPr>
        <w:t>。</w:t>
      </w:r>
    </w:p>
    <w:p w14:paraId="6BAA59B2">
      <w:pPr>
        <w:spacing w:line="360" w:lineRule="auto"/>
        <w:rPr>
          <w:color w:val="000000"/>
          <w:szCs w:val="21"/>
        </w:rPr>
      </w:pPr>
      <w:r>
        <w:rPr>
          <w:rFonts w:hint="eastAsia"/>
          <w:color w:val="000000"/>
          <w:szCs w:val="21"/>
        </w:rPr>
        <w:t>关于竣工付款证书异议部分复核的方式和程序：</w:t>
      </w:r>
      <w:r>
        <w:rPr>
          <w:rFonts w:hint="eastAsia"/>
          <w:color w:val="000000"/>
          <w:szCs w:val="21"/>
          <w:u w:val="single"/>
        </w:rPr>
        <w:t xml:space="preserve">                </w:t>
      </w:r>
      <w:r>
        <w:rPr>
          <w:rFonts w:hint="eastAsia"/>
          <w:color w:val="000000"/>
          <w:szCs w:val="21"/>
        </w:rPr>
        <w:t>。</w:t>
      </w:r>
    </w:p>
    <w:p w14:paraId="7739CC66">
      <w:pPr>
        <w:spacing w:line="360" w:lineRule="auto"/>
        <w:rPr>
          <w:color w:val="000000"/>
          <w:szCs w:val="21"/>
        </w:rPr>
      </w:pPr>
      <w:r>
        <w:rPr>
          <w:rFonts w:hint="eastAsia"/>
          <w:color w:val="000000"/>
          <w:szCs w:val="21"/>
        </w:rPr>
        <w:t>14.4 最终结清</w:t>
      </w:r>
    </w:p>
    <w:p w14:paraId="0D57A214">
      <w:pPr>
        <w:spacing w:line="360" w:lineRule="auto"/>
        <w:rPr>
          <w:color w:val="000000"/>
          <w:szCs w:val="21"/>
        </w:rPr>
      </w:pPr>
      <w:r>
        <w:rPr>
          <w:rFonts w:hint="eastAsia"/>
          <w:color w:val="000000"/>
          <w:szCs w:val="21"/>
        </w:rPr>
        <w:t>14.4.1 最终结清申请单</w:t>
      </w:r>
    </w:p>
    <w:p w14:paraId="61F864BB">
      <w:pPr>
        <w:spacing w:line="360" w:lineRule="auto"/>
        <w:rPr>
          <w:color w:val="000000"/>
          <w:szCs w:val="21"/>
        </w:rPr>
      </w:pPr>
      <w:r>
        <w:rPr>
          <w:rFonts w:hint="eastAsia"/>
          <w:color w:val="000000"/>
          <w:szCs w:val="21"/>
        </w:rPr>
        <w:t>承包人提交最终结清申请单的份数：</w:t>
      </w:r>
      <w:r>
        <w:rPr>
          <w:rFonts w:hint="eastAsia"/>
          <w:color w:val="000000"/>
          <w:szCs w:val="21"/>
          <w:u w:val="single"/>
        </w:rPr>
        <w:t xml:space="preserve">                    </w:t>
      </w:r>
      <w:r>
        <w:rPr>
          <w:rFonts w:hint="eastAsia"/>
          <w:color w:val="000000"/>
          <w:szCs w:val="21"/>
        </w:rPr>
        <w:t>。</w:t>
      </w:r>
    </w:p>
    <w:p w14:paraId="35AEBC5A">
      <w:pPr>
        <w:spacing w:line="360" w:lineRule="auto"/>
        <w:rPr>
          <w:szCs w:val="21"/>
        </w:rPr>
      </w:pPr>
      <w:r>
        <w:rPr>
          <w:rFonts w:hint="eastAsia"/>
          <w:color w:val="000000"/>
          <w:szCs w:val="21"/>
        </w:rPr>
        <w:t>承包人提交最终结算申请单的期限：</w:t>
      </w:r>
      <w:r>
        <w:rPr>
          <w:rFonts w:hint="eastAsia"/>
          <w:color w:val="000000"/>
          <w:szCs w:val="21"/>
          <w:u w:val="single"/>
        </w:rPr>
        <w:t xml:space="preserve">                    </w:t>
      </w:r>
      <w:r>
        <w:rPr>
          <w:rFonts w:hint="eastAsia"/>
          <w:color w:val="000000"/>
          <w:szCs w:val="21"/>
        </w:rPr>
        <w:t>。</w:t>
      </w:r>
      <w:r>
        <w:rPr>
          <w:rFonts w:hint="eastAsia"/>
          <w:szCs w:val="21"/>
        </w:rPr>
        <w:t xml:space="preserve"> </w:t>
      </w:r>
    </w:p>
    <w:p w14:paraId="49441559">
      <w:pPr>
        <w:spacing w:line="360" w:lineRule="auto"/>
        <w:rPr>
          <w:szCs w:val="21"/>
        </w:rPr>
      </w:pPr>
      <w:r>
        <w:rPr>
          <w:rFonts w:hint="eastAsia"/>
          <w:szCs w:val="21"/>
        </w:rPr>
        <w:t>14.4.2 最终结清证书和支付</w:t>
      </w:r>
    </w:p>
    <w:p w14:paraId="16756A2E">
      <w:pPr>
        <w:spacing w:line="360" w:lineRule="auto"/>
        <w:rPr>
          <w:szCs w:val="21"/>
        </w:rPr>
      </w:pPr>
      <w:r>
        <w:rPr>
          <w:rFonts w:hint="eastAsia"/>
          <w:szCs w:val="21"/>
        </w:rPr>
        <w:t>（1）发包人完成最终结清申请单的审批并颁发最终结清证书的期限：</w:t>
      </w:r>
      <w:r>
        <w:rPr>
          <w:rFonts w:hint="eastAsia"/>
          <w:color w:val="000000"/>
          <w:szCs w:val="21"/>
          <w:u w:val="single"/>
        </w:rPr>
        <w:t xml:space="preserve">                   </w:t>
      </w:r>
      <w:r>
        <w:rPr>
          <w:rFonts w:hint="eastAsia"/>
          <w:color w:val="000000"/>
          <w:szCs w:val="21"/>
        </w:rPr>
        <w:t>。</w:t>
      </w:r>
    </w:p>
    <w:p w14:paraId="22C04DF6">
      <w:pPr>
        <w:spacing w:line="360" w:lineRule="auto"/>
        <w:rPr>
          <w:szCs w:val="21"/>
        </w:rPr>
      </w:pPr>
      <w:r>
        <w:rPr>
          <w:rFonts w:hint="eastAsia"/>
          <w:szCs w:val="21"/>
        </w:rPr>
        <w:t>（2）发包人完成支付的期限：</w:t>
      </w:r>
      <w:r>
        <w:rPr>
          <w:rFonts w:hint="eastAsia"/>
          <w:color w:val="000000"/>
          <w:szCs w:val="21"/>
          <w:u w:val="single"/>
        </w:rPr>
        <w:t xml:space="preserve">                         </w:t>
      </w:r>
      <w:r>
        <w:rPr>
          <w:rFonts w:hint="eastAsia"/>
          <w:color w:val="000000"/>
          <w:szCs w:val="21"/>
        </w:rPr>
        <w:t>。</w:t>
      </w:r>
    </w:p>
    <w:bookmarkEnd w:id="494"/>
    <w:bookmarkEnd w:id="495"/>
    <w:bookmarkEnd w:id="496"/>
    <w:bookmarkEnd w:id="497"/>
    <w:bookmarkEnd w:id="498"/>
    <w:bookmarkEnd w:id="499"/>
    <w:bookmarkEnd w:id="500"/>
    <w:bookmarkEnd w:id="506"/>
    <w:p w14:paraId="5340EF23">
      <w:pPr>
        <w:adjustRightInd w:val="0"/>
        <w:spacing w:line="360" w:lineRule="auto"/>
        <w:rPr>
          <w:color w:val="000000"/>
          <w:szCs w:val="21"/>
        </w:rPr>
      </w:pPr>
      <w:bookmarkStart w:id="508" w:name="_Toc351203647"/>
      <w:bookmarkStart w:id="509" w:name="_Toc267251483"/>
      <w:bookmarkStart w:id="510" w:name="_Toc267251484"/>
      <w:bookmarkStart w:id="511" w:name="_Toc267251482"/>
      <w:bookmarkStart w:id="512" w:name="_Toc267251485"/>
      <w:bookmarkStart w:id="513" w:name="_Toc267251486"/>
      <w:bookmarkStart w:id="514" w:name="_Toc267251490"/>
      <w:bookmarkStart w:id="515" w:name="_Toc267251488"/>
      <w:bookmarkStart w:id="516" w:name="_Toc267251489"/>
      <w:bookmarkStart w:id="517" w:name="_Toc267251495"/>
      <w:bookmarkStart w:id="518" w:name="_Toc267251498"/>
      <w:bookmarkStart w:id="519" w:name="_Toc267251496"/>
      <w:bookmarkStart w:id="520" w:name="_Toc267251501"/>
      <w:bookmarkStart w:id="521" w:name="_Toc267251502"/>
      <w:bookmarkStart w:id="522" w:name="_Toc267251499"/>
      <w:bookmarkStart w:id="523" w:name="_Toc267251494"/>
      <w:bookmarkStart w:id="524" w:name="_Toc267251503"/>
      <w:bookmarkStart w:id="525" w:name="_Toc267251497"/>
      <w:bookmarkStart w:id="526" w:name="_Toc267251493"/>
      <w:bookmarkStart w:id="527" w:name="_Toc267251492"/>
      <w:bookmarkStart w:id="528" w:name="_Toc267251491"/>
      <w:bookmarkStart w:id="529" w:name="_Toc267251506"/>
      <w:bookmarkStart w:id="530" w:name="_Toc267251504"/>
      <w:bookmarkStart w:id="531" w:name="_Toc267251507"/>
      <w:r>
        <w:rPr>
          <w:rFonts w:hint="eastAsia"/>
          <w:color w:val="000000"/>
          <w:szCs w:val="21"/>
        </w:rPr>
        <w:t>15. 缺陷责任期与保修</w:t>
      </w:r>
      <w:bookmarkEnd w:id="508"/>
    </w:p>
    <w:p w14:paraId="4648A5ED">
      <w:pPr>
        <w:spacing w:line="360" w:lineRule="auto"/>
        <w:rPr>
          <w:color w:val="000000"/>
          <w:szCs w:val="21"/>
        </w:rPr>
      </w:pPr>
      <w:r>
        <w:rPr>
          <w:rFonts w:hint="eastAsia"/>
          <w:color w:val="000000"/>
          <w:szCs w:val="21"/>
        </w:rPr>
        <w:t>15.2缺陷责任期</w:t>
      </w:r>
      <w:bookmarkEnd w:id="509"/>
    </w:p>
    <w:p w14:paraId="2C292924">
      <w:pPr>
        <w:spacing w:line="360" w:lineRule="auto"/>
        <w:rPr>
          <w:color w:val="000000"/>
          <w:szCs w:val="21"/>
        </w:rPr>
      </w:pPr>
      <w:r>
        <w:rPr>
          <w:rFonts w:hint="eastAsia"/>
          <w:color w:val="000000"/>
          <w:szCs w:val="21"/>
        </w:rPr>
        <w:t>缺陷责</w:t>
      </w:r>
      <w:r>
        <w:rPr>
          <w:rFonts w:hint="eastAsia"/>
          <w:szCs w:val="21"/>
        </w:rPr>
        <w:t>任期的具体期限：</w:t>
      </w:r>
      <w:r>
        <w:rPr>
          <w:rFonts w:hint="eastAsia"/>
          <w:szCs w:val="21"/>
          <w:u w:val="single"/>
        </w:rPr>
        <w:t xml:space="preserve">    </w:t>
      </w:r>
      <w:r>
        <w:rPr>
          <w:rFonts w:hint="eastAsia"/>
          <w:color w:val="000000"/>
          <w:szCs w:val="21"/>
          <w:u w:val="single"/>
        </w:rPr>
        <w:t xml:space="preserve">            </w:t>
      </w:r>
      <w:r>
        <w:rPr>
          <w:rFonts w:hint="eastAsia"/>
          <w:color w:val="000000"/>
          <w:szCs w:val="21"/>
        </w:rPr>
        <w:t>。</w:t>
      </w:r>
    </w:p>
    <w:p w14:paraId="1266A9A8">
      <w:pPr>
        <w:spacing w:line="360" w:lineRule="auto"/>
        <w:rPr>
          <w:color w:val="000000"/>
          <w:szCs w:val="21"/>
        </w:rPr>
      </w:pPr>
      <w:r>
        <w:rPr>
          <w:rFonts w:hint="eastAsia"/>
          <w:color w:val="000000"/>
          <w:szCs w:val="21"/>
        </w:rPr>
        <w:t>15.3 质量保证金</w:t>
      </w:r>
    </w:p>
    <w:p w14:paraId="2EC99EC6">
      <w:pPr>
        <w:spacing w:line="360" w:lineRule="auto"/>
        <w:rPr>
          <w:color w:val="000000"/>
          <w:szCs w:val="21"/>
        </w:rPr>
      </w:pPr>
      <w:r>
        <w:rPr>
          <w:rFonts w:hint="eastAsia"/>
          <w:color w:val="000000"/>
          <w:szCs w:val="21"/>
        </w:rPr>
        <w:t>关于是否扣留质量保证金的约定：</w:t>
      </w:r>
      <w:r>
        <w:rPr>
          <w:rFonts w:hint="eastAsia"/>
          <w:color w:val="000000"/>
          <w:szCs w:val="21"/>
          <w:u w:val="single"/>
        </w:rPr>
        <w:t xml:space="preserve">                      </w:t>
      </w:r>
      <w:r>
        <w:rPr>
          <w:rFonts w:hint="eastAsia"/>
          <w:color w:val="000000"/>
          <w:szCs w:val="21"/>
        </w:rPr>
        <w:t>。</w:t>
      </w:r>
    </w:p>
    <w:p w14:paraId="340616AE">
      <w:pPr>
        <w:spacing w:line="360" w:lineRule="auto"/>
        <w:rPr>
          <w:color w:val="000000"/>
          <w:szCs w:val="21"/>
        </w:rPr>
      </w:pPr>
      <w:r>
        <w:rPr>
          <w:rFonts w:hint="eastAsia"/>
          <w:color w:val="000000"/>
          <w:szCs w:val="21"/>
        </w:rPr>
        <w:t>15.3.1 承包人提供质量保证金的方式</w:t>
      </w:r>
    </w:p>
    <w:p w14:paraId="42F1C828">
      <w:pPr>
        <w:spacing w:line="360" w:lineRule="auto"/>
        <w:rPr>
          <w:color w:val="000000"/>
          <w:szCs w:val="21"/>
        </w:rPr>
      </w:pPr>
      <w:r>
        <w:rPr>
          <w:rFonts w:hint="eastAsia"/>
          <w:color w:val="000000"/>
          <w:szCs w:val="21"/>
        </w:rPr>
        <w:t>质量保证金采用以下第</w:t>
      </w:r>
      <w:r>
        <w:rPr>
          <w:rFonts w:hint="eastAsia"/>
          <w:color w:val="000000"/>
          <w:szCs w:val="21"/>
          <w:u w:val="single"/>
        </w:rPr>
        <w:t xml:space="preserve">     </w:t>
      </w:r>
      <w:r>
        <w:rPr>
          <w:rFonts w:hint="eastAsia"/>
          <w:color w:val="000000"/>
          <w:szCs w:val="21"/>
        </w:rPr>
        <w:t>种方式：</w:t>
      </w:r>
    </w:p>
    <w:p w14:paraId="2C8FE392">
      <w:pPr>
        <w:adjustRightInd w:val="0"/>
        <w:spacing w:line="360" w:lineRule="auto"/>
        <w:rPr>
          <w:color w:val="000000"/>
          <w:szCs w:val="21"/>
        </w:rPr>
      </w:pPr>
      <w:r>
        <w:rPr>
          <w:rFonts w:hint="eastAsia"/>
          <w:color w:val="000000"/>
          <w:szCs w:val="21"/>
        </w:rPr>
        <w:t>（1）质量保证金保函，保证金额为：</w:t>
      </w:r>
      <w:r>
        <w:rPr>
          <w:rFonts w:hint="eastAsia"/>
          <w:color w:val="000000"/>
          <w:szCs w:val="21"/>
          <w:u w:val="single"/>
        </w:rPr>
        <w:t xml:space="preserve">                   </w:t>
      </w:r>
      <w:r>
        <w:rPr>
          <w:rFonts w:hint="eastAsia"/>
          <w:color w:val="000000"/>
          <w:szCs w:val="21"/>
        </w:rPr>
        <w:t xml:space="preserve">； </w:t>
      </w:r>
    </w:p>
    <w:p w14:paraId="784441BE">
      <w:pPr>
        <w:adjustRightInd w:val="0"/>
        <w:spacing w:line="360" w:lineRule="auto"/>
        <w:rPr>
          <w:color w:val="000000"/>
          <w:szCs w:val="21"/>
        </w:rPr>
      </w:pPr>
      <w:r>
        <w:rPr>
          <w:rFonts w:hint="eastAsia"/>
          <w:color w:val="000000"/>
          <w:szCs w:val="21"/>
        </w:rPr>
        <w:t>（2）</w:t>
      </w:r>
      <w:r>
        <w:rPr>
          <w:rFonts w:hint="eastAsia"/>
          <w:color w:val="000000"/>
          <w:szCs w:val="21"/>
          <w:u w:val="single"/>
        </w:rPr>
        <w:t xml:space="preserve">      </w:t>
      </w:r>
      <w:r>
        <w:rPr>
          <w:rFonts w:hint="eastAsia"/>
          <w:color w:val="000000"/>
          <w:szCs w:val="21"/>
        </w:rPr>
        <w:t>%的工程款；</w:t>
      </w:r>
    </w:p>
    <w:p w14:paraId="7D439210">
      <w:pPr>
        <w:adjustRightInd w:val="0"/>
        <w:spacing w:line="360" w:lineRule="auto"/>
        <w:rPr>
          <w:color w:val="000000"/>
          <w:szCs w:val="21"/>
        </w:rPr>
      </w:pPr>
      <w:r>
        <w:rPr>
          <w:rFonts w:hint="eastAsia"/>
          <w:color w:val="000000"/>
          <w:szCs w:val="21"/>
        </w:rPr>
        <w:t>（3）其他方式:</w:t>
      </w:r>
      <w:r>
        <w:rPr>
          <w:rFonts w:hint="eastAsia"/>
          <w:color w:val="000000"/>
          <w:szCs w:val="21"/>
          <w:u w:val="single"/>
        </w:rPr>
        <w:t xml:space="preserve">                                       </w:t>
      </w:r>
      <w:r>
        <w:rPr>
          <w:rFonts w:hint="eastAsia"/>
          <w:color w:val="000000"/>
          <w:szCs w:val="21"/>
        </w:rPr>
        <w:t>。</w:t>
      </w:r>
    </w:p>
    <w:p w14:paraId="7D5210E2">
      <w:pPr>
        <w:spacing w:line="360" w:lineRule="auto"/>
        <w:rPr>
          <w:color w:val="000000"/>
          <w:szCs w:val="21"/>
        </w:rPr>
      </w:pPr>
      <w:r>
        <w:rPr>
          <w:rFonts w:hint="eastAsia"/>
          <w:color w:val="000000"/>
          <w:szCs w:val="21"/>
        </w:rPr>
        <w:t xml:space="preserve">15.3.2 质量保证金的扣留 </w:t>
      </w:r>
    </w:p>
    <w:p w14:paraId="6A3BE41F">
      <w:pPr>
        <w:spacing w:line="360" w:lineRule="auto"/>
        <w:rPr>
          <w:color w:val="000000"/>
          <w:szCs w:val="21"/>
        </w:rPr>
      </w:pPr>
      <w:r>
        <w:rPr>
          <w:rFonts w:hint="eastAsia"/>
          <w:color w:val="000000"/>
          <w:szCs w:val="21"/>
        </w:rPr>
        <w:t>质量保证金的扣留采取以下第</w:t>
      </w:r>
      <w:r>
        <w:rPr>
          <w:rFonts w:hint="eastAsia"/>
          <w:color w:val="000000"/>
          <w:szCs w:val="21"/>
          <w:u w:val="single"/>
        </w:rPr>
        <w:t xml:space="preserve">     </w:t>
      </w:r>
      <w:r>
        <w:rPr>
          <w:rFonts w:hint="eastAsia"/>
          <w:color w:val="000000"/>
          <w:szCs w:val="21"/>
        </w:rPr>
        <w:t>种方式：</w:t>
      </w:r>
    </w:p>
    <w:p w14:paraId="17D3E1AD">
      <w:pPr>
        <w:adjustRightInd w:val="0"/>
        <w:spacing w:line="360" w:lineRule="auto"/>
        <w:rPr>
          <w:color w:val="000000"/>
          <w:szCs w:val="21"/>
        </w:rPr>
      </w:pPr>
      <w:r>
        <w:rPr>
          <w:rFonts w:hint="eastAsia"/>
          <w:color w:val="000000"/>
          <w:szCs w:val="21"/>
        </w:rPr>
        <w:t>（1）在支付工程进度款时逐次扣留，在此情形下，质量保证金的计算基数不包括预付款的支付、扣回以及价格调整的金额；</w:t>
      </w:r>
    </w:p>
    <w:p w14:paraId="3D69645F">
      <w:pPr>
        <w:adjustRightInd w:val="0"/>
        <w:spacing w:line="360" w:lineRule="auto"/>
        <w:rPr>
          <w:color w:val="000000"/>
          <w:szCs w:val="21"/>
        </w:rPr>
      </w:pPr>
      <w:r>
        <w:rPr>
          <w:rFonts w:hint="eastAsia"/>
          <w:color w:val="000000"/>
          <w:szCs w:val="21"/>
        </w:rPr>
        <w:t>（2）工程竣工结算时一次性扣留质量保证金；</w:t>
      </w:r>
    </w:p>
    <w:p w14:paraId="4BCBC6CB">
      <w:pPr>
        <w:adjustRightInd w:val="0"/>
        <w:spacing w:line="360" w:lineRule="auto"/>
        <w:rPr>
          <w:color w:val="000000"/>
          <w:szCs w:val="21"/>
        </w:rPr>
      </w:pPr>
      <w:r>
        <w:rPr>
          <w:rFonts w:hint="eastAsia"/>
          <w:color w:val="000000"/>
          <w:szCs w:val="21"/>
        </w:rPr>
        <w:t>（3）其他扣留方式:</w:t>
      </w:r>
      <w:r>
        <w:rPr>
          <w:rFonts w:hint="eastAsia"/>
          <w:color w:val="000000"/>
          <w:szCs w:val="21"/>
          <w:u w:val="single"/>
        </w:rPr>
        <w:t xml:space="preserve">                                     </w:t>
      </w:r>
      <w:r>
        <w:rPr>
          <w:rFonts w:hint="eastAsia"/>
          <w:color w:val="000000"/>
          <w:szCs w:val="21"/>
        </w:rPr>
        <w:t>。</w:t>
      </w:r>
    </w:p>
    <w:p w14:paraId="064AC3A0">
      <w:pPr>
        <w:spacing w:line="360" w:lineRule="auto"/>
        <w:rPr>
          <w:color w:val="000000"/>
          <w:szCs w:val="21"/>
        </w:rPr>
      </w:pPr>
      <w:r>
        <w:rPr>
          <w:rFonts w:hint="eastAsia"/>
          <w:color w:val="000000"/>
          <w:szCs w:val="21"/>
        </w:rPr>
        <w:t>关于质量保证金的补充约定：</w:t>
      </w:r>
      <w:r>
        <w:rPr>
          <w:rFonts w:hint="eastAsia"/>
          <w:color w:val="000000"/>
          <w:szCs w:val="21"/>
          <w:u w:val="single"/>
        </w:rPr>
        <w:t xml:space="preserve">                         </w:t>
      </w:r>
      <w:r>
        <w:rPr>
          <w:rFonts w:hint="eastAsia"/>
          <w:color w:val="000000"/>
          <w:szCs w:val="21"/>
        </w:rPr>
        <w:t>。</w:t>
      </w:r>
    </w:p>
    <w:bookmarkEnd w:id="510"/>
    <w:bookmarkEnd w:id="511"/>
    <w:p w14:paraId="07A37DB7">
      <w:pPr>
        <w:spacing w:line="360" w:lineRule="auto"/>
        <w:rPr>
          <w:color w:val="000000"/>
          <w:szCs w:val="21"/>
        </w:rPr>
      </w:pPr>
      <w:r>
        <w:rPr>
          <w:rFonts w:hint="eastAsia"/>
          <w:color w:val="000000"/>
          <w:szCs w:val="21"/>
        </w:rPr>
        <w:t>15.4保修</w:t>
      </w:r>
    </w:p>
    <w:bookmarkEnd w:id="512"/>
    <w:p w14:paraId="6968A7DE">
      <w:pPr>
        <w:spacing w:line="360" w:lineRule="auto"/>
        <w:rPr>
          <w:color w:val="000000"/>
          <w:szCs w:val="21"/>
        </w:rPr>
      </w:pPr>
      <w:r>
        <w:rPr>
          <w:rFonts w:hint="eastAsia"/>
          <w:color w:val="000000"/>
          <w:szCs w:val="21"/>
        </w:rPr>
        <w:t>15.4.1 保修责任</w:t>
      </w:r>
    </w:p>
    <w:p w14:paraId="11D5FD36">
      <w:pPr>
        <w:spacing w:line="360" w:lineRule="auto"/>
        <w:rPr>
          <w:color w:val="000000"/>
          <w:szCs w:val="21"/>
        </w:rPr>
      </w:pPr>
      <w:r>
        <w:rPr>
          <w:rFonts w:hint="eastAsia"/>
          <w:color w:val="000000"/>
          <w:szCs w:val="21"/>
        </w:rPr>
        <w:t>工程保修期为：</w:t>
      </w:r>
      <w:r>
        <w:rPr>
          <w:rFonts w:hint="eastAsia"/>
          <w:color w:val="000000"/>
          <w:szCs w:val="21"/>
          <w:u w:val="single"/>
        </w:rPr>
        <w:t xml:space="preserve">     </w:t>
      </w:r>
      <w:r>
        <w:rPr>
          <w:szCs w:val="21"/>
          <w:u w:val="single"/>
        </w:rPr>
        <w:t xml:space="preserve">  </w:t>
      </w:r>
      <w:r>
        <w:rPr>
          <w:rFonts w:hint="eastAsia"/>
          <w:szCs w:val="21"/>
          <w:u w:val="single"/>
        </w:rPr>
        <w:t xml:space="preserve">  </w:t>
      </w:r>
      <w:r>
        <w:rPr>
          <w:rFonts w:hint="eastAsia"/>
          <w:color w:val="000000"/>
          <w:szCs w:val="21"/>
          <w:u w:val="single"/>
        </w:rPr>
        <w:t xml:space="preserve">           </w:t>
      </w:r>
      <w:r>
        <w:rPr>
          <w:rFonts w:hint="eastAsia"/>
          <w:color w:val="000000"/>
          <w:szCs w:val="21"/>
        </w:rPr>
        <w:t>。</w:t>
      </w:r>
    </w:p>
    <w:p w14:paraId="6D41CFBC">
      <w:pPr>
        <w:spacing w:line="360" w:lineRule="auto"/>
        <w:rPr>
          <w:color w:val="000000"/>
          <w:szCs w:val="21"/>
        </w:rPr>
      </w:pPr>
      <w:r>
        <w:rPr>
          <w:rFonts w:hint="eastAsia"/>
          <w:color w:val="000000"/>
          <w:szCs w:val="21"/>
        </w:rPr>
        <w:t>15.4.3 修复通知</w:t>
      </w:r>
    </w:p>
    <w:p w14:paraId="1355D872">
      <w:pPr>
        <w:spacing w:line="360" w:lineRule="auto"/>
        <w:rPr>
          <w:color w:val="000000"/>
          <w:szCs w:val="21"/>
        </w:rPr>
      </w:pPr>
      <w:r>
        <w:rPr>
          <w:rFonts w:hint="eastAsia"/>
          <w:color w:val="000000"/>
          <w:szCs w:val="21"/>
        </w:rPr>
        <w:t>承包人收到保修通知并到达工程现场的合理时间：</w:t>
      </w:r>
      <w:r>
        <w:rPr>
          <w:rFonts w:hint="eastAsia"/>
          <w:color w:val="000000"/>
          <w:szCs w:val="21"/>
          <w:u w:val="single"/>
        </w:rPr>
        <w:t xml:space="preserve">                      </w:t>
      </w:r>
      <w:r>
        <w:rPr>
          <w:rFonts w:hint="eastAsia"/>
          <w:color w:val="000000"/>
          <w:szCs w:val="21"/>
        </w:rPr>
        <w:t>。</w:t>
      </w:r>
    </w:p>
    <w:bookmarkEnd w:id="513"/>
    <w:bookmarkEnd w:id="514"/>
    <w:bookmarkEnd w:id="515"/>
    <w:bookmarkEnd w:id="516"/>
    <w:p w14:paraId="231E20FA">
      <w:pPr>
        <w:adjustRightInd w:val="0"/>
        <w:spacing w:line="360" w:lineRule="auto"/>
        <w:rPr>
          <w:color w:val="000000"/>
          <w:szCs w:val="21"/>
        </w:rPr>
      </w:pPr>
      <w:bookmarkStart w:id="532" w:name="_Toc351203648"/>
      <w:bookmarkStart w:id="533" w:name="_Toc280868717"/>
      <w:bookmarkStart w:id="534" w:name="_Toc280868718"/>
      <w:r>
        <w:rPr>
          <w:rFonts w:hint="eastAsia"/>
          <w:color w:val="000000"/>
          <w:szCs w:val="21"/>
        </w:rPr>
        <w:t>16. 违约</w:t>
      </w:r>
      <w:bookmarkEnd w:id="532"/>
    </w:p>
    <w:p w14:paraId="1FFA5210">
      <w:pPr>
        <w:spacing w:line="360" w:lineRule="auto"/>
        <w:rPr>
          <w:color w:val="000000"/>
          <w:szCs w:val="21"/>
        </w:rPr>
      </w:pPr>
      <w:r>
        <w:rPr>
          <w:rFonts w:hint="eastAsia"/>
          <w:color w:val="000000"/>
          <w:szCs w:val="21"/>
        </w:rPr>
        <w:t>16.1 发包人违约</w:t>
      </w:r>
    </w:p>
    <w:p w14:paraId="78BFC0F8">
      <w:pPr>
        <w:spacing w:line="360" w:lineRule="auto"/>
        <w:rPr>
          <w:color w:val="000000"/>
          <w:szCs w:val="21"/>
        </w:rPr>
      </w:pPr>
      <w:r>
        <w:rPr>
          <w:rFonts w:hint="eastAsia"/>
          <w:color w:val="000000"/>
          <w:szCs w:val="21"/>
        </w:rPr>
        <w:t>16.1.1发包人违约的情形</w:t>
      </w:r>
    </w:p>
    <w:p w14:paraId="6C3B2254">
      <w:pPr>
        <w:spacing w:line="360" w:lineRule="auto"/>
        <w:rPr>
          <w:color w:val="000000"/>
          <w:szCs w:val="21"/>
        </w:rPr>
      </w:pPr>
      <w:r>
        <w:rPr>
          <w:rFonts w:hint="eastAsia"/>
          <w:color w:val="000000"/>
          <w:szCs w:val="21"/>
        </w:rPr>
        <w:t>发包人违约的其他情形：</w:t>
      </w:r>
      <w:r>
        <w:rPr>
          <w:rFonts w:hint="eastAsia"/>
          <w:color w:val="000000"/>
          <w:szCs w:val="21"/>
          <w:u w:val="single"/>
        </w:rPr>
        <w:t xml:space="preserve">                             </w:t>
      </w:r>
      <w:r>
        <w:rPr>
          <w:rFonts w:hint="eastAsia"/>
          <w:color w:val="000000"/>
          <w:szCs w:val="21"/>
        </w:rPr>
        <w:t>。</w:t>
      </w:r>
    </w:p>
    <w:p w14:paraId="28AC2C88">
      <w:pPr>
        <w:spacing w:line="360" w:lineRule="auto"/>
        <w:rPr>
          <w:color w:val="000000"/>
          <w:szCs w:val="21"/>
        </w:rPr>
      </w:pPr>
      <w:r>
        <w:rPr>
          <w:rFonts w:hint="eastAsia"/>
          <w:color w:val="000000"/>
          <w:szCs w:val="21"/>
        </w:rPr>
        <w:t>16.1.2 发包人违约的责任</w:t>
      </w:r>
    </w:p>
    <w:p w14:paraId="19D31D38">
      <w:pPr>
        <w:spacing w:line="360" w:lineRule="auto"/>
        <w:rPr>
          <w:color w:val="000000"/>
          <w:szCs w:val="21"/>
        </w:rPr>
      </w:pPr>
      <w:r>
        <w:rPr>
          <w:rFonts w:hint="eastAsia"/>
          <w:color w:val="000000"/>
          <w:szCs w:val="21"/>
        </w:rPr>
        <w:t>发包人违约责任的承担方式和计算方法：</w:t>
      </w:r>
    </w:p>
    <w:p w14:paraId="50524634">
      <w:pPr>
        <w:spacing w:line="360" w:lineRule="auto"/>
        <w:rPr>
          <w:color w:val="000000"/>
          <w:szCs w:val="21"/>
          <w:u w:val="single"/>
        </w:rPr>
      </w:pPr>
      <w:r>
        <w:rPr>
          <w:rFonts w:hint="eastAsia"/>
          <w:color w:val="000000"/>
          <w:szCs w:val="21"/>
        </w:rPr>
        <w:t>（1）因发包人原因未能在计划开工日期前7天内下达开工通知的违约责任：</w:t>
      </w:r>
      <w:r>
        <w:rPr>
          <w:rFonts w:hint="eastAsia"/>
          <w:color w:val="000000"/>
          <w:szCs w:val="21"/>
          <w:u w:val="single"/>
        </w:rPr>
        <w:t xml:space="preserve">                                             </w:t>
      </w:r>
      <w:r>
        <w:rPr>
          <w:rFonts w:hint="eastAsia"/>
          <w:color w:val="000000"/>
          <w:szCs w:val="21"/>
        </w:rPr>
        <w:t>。</w:t>
      </w:r>
    </w:p>
    <w:p w14:paraId="13DE250E">
      <w:pPr>
        <w:spacing w:line="360" w:lineRule="auto"/>
        <w:rPr>
          <w:color w:val="000000"/>
          <w:szCs w:val="21"/>
        </w:rPr>
      </w:pPr>
      <w:r>
        <w:rPr>
          <w:rFonts w:hint="eastAsia"/>
          <w:color w:val="000000"/>
          <w:szCs w:val="21"/>
        </w:rPr>
        <w:t>（2）因发包人原因未能按合同约定支付合同价款的违约责任：</w:t>
      </w:r>
      <w:r>
        <w:rPr>
          <w:rFonts w:hint="eastAsia"/>
          <w:color w:val="000000"/>
          <w:szCs w:val="21"/>
          <w:u w:val="single"/>
        </w:rPr>
        <w:t xml:space="preserve">                       </w:t>
      </w:r>
      <w:r>
        <w:rPr>
          <w:rFonts w:hint="eastAsia"/>
          <w:color w:val="000000"/>
          <w:szCs w:val="21"/>
        </w:rPr>
        <w:t>。</w:t>
      </w:r>
    </w:p>
    <w:p w14:paraId="78BFBADC">
      <w:pPr>
        <w:spacing w:line="360" w:lineRule="auto"/>
        <w:rPr>
          <w:color w:val="000000"/>
          <w:szCs w:val="21"/>
        </w:rPr>
      </w:pPr>
      <w:r>
        <w:rPr>
          <w:rFonts w:hint="eastAsia"/>
          <w:color w:val="000000"/>
          <w:szCs w:val="21"/>
        </w:rPr>
        <w:t>（3）发包人违反第10.1款〔变更的范围〕第（2）项约定，自行实施被取消的工作或转由他人实施的违约责任：</w:t>
      </w:r>
      <w:r>
        <w:rPr>
          <w:rFonts w:hint="eastAsia"/>
          <w:color w:val="000000"/>
          <w:szCs w:val="21"/>
          <w:u w:val="single"/>
        </w:rPr>
        <w:t xml:space="preserve">                              </w:t>
      </w:r>
      <w:r>
        <w:rPr>
          <w:rFonts w:hint="eastAsia"/>
          <w:color w:val="000000"/>
          <w:szCs w:val="21"/>
        </w:rPr>
        <w:t>。</w:t>
      </w:r>
    </w:p>
    <w:p w14:paraId="50F6239A">
      <w:pPr>
        <w:spacing w:line="360" w:lineRule="auto"/>
        <w:rPr>
          <w:color w:val="000000"/>
          <w:szCs w:val="21"/>
        </w:rPr>
      </w:pPr>
      <w:r>
        <w:rPr>
          <w:rFonts w:hint="eastAsia"/>
          <w:color w:val="000000"/>
          <w:szCs w:val="21"/>
        </w:rPr>
        <w:t>（4）发包人提供的材料、工程设备的规格、数量或质量不符合合同约定，或因发包人原因导致交货日期延误或交货地点变更等情况的违约责任：</w:t>
      </w:r>
      <w:r>
        <w:rPr>
          <w:rFonts w:hint="eastAsia"/>
          <w:color w:val="000000"/>
          <w:szCs w:val="21"/>
          <w:u w:val="single"/>
        </w:rPr>
        <w:t xml:space="preserve">                         </w:t>
      </w:r>
      <w:r>
        <w:rPr>
          <w:rFonts w:hint="eastAsia"/>
          <w:color w:val="000000"/>
          <w:szCs w:val="21"/>
        </w:rPr>
        <w:t>。</w:t>
      </w:r>
    </w:p>
    <w:p w14:paraId="1D23DFB8">
      <w:pPr>
        <w:spacing w:line="360" w:lineRule="auto"/>
        <w:rPr>
          <w:color w:val="000000"/>
          <w:szCs w:val="21"/>
        </w:rPr>
      </w:pPr>
      <w:r>
        <w:rPr>
          <w:rFonts w:hint="eastAsia"/>
          <w:color w:val="000000"/>
          <w:szCs w:val="21"/>
        </w:rPr>
        <w:t>（5）因发包人违反合同约定造成暂停施工的违约责任：</w:t>
      </w:r>
      <w:r>
        <w:rPr>
          <w:rFonts w:hint="eastAsia"/>
          <w:color w:val="000000"/>
          <w:szCs w:val="21"/>
          <w:u w:val="single"/>
        </w:rPr>
        <w:t xml:space="preserve">                         </w:t>
      </w:r>
      <w:r>
        <w:rPr>
          <w:rFonts w:hint="eastAsia"/>
          <w:color w:val="000000"/>
          <w:szCs w:val="21"/>
        </w:rPr>
        <w:t>。</w:t>
      </w:r>
    </w:p>
    <w:p w14:paraId="28146E46">
      <w:pPr>
        <w:spacing w:line="360" w:lineRule="auto"/>
        <w:rPr>
          <w:color w:val="000000"/>
          <w:szCs w:val="21"/>
        </w:rPr>
      </w:pPr>
      <w:r>
        <w:rPr>
          <w:rFonts w:hint="eastAsia"/>
          <w:color w:val="000000"/>
          <w:szCs w:val="21"/>
        </w:rPr>
        <w:t>（6）发包人无正当理由没有在约定期限内发出复工指示，导致承包人无法复工的违约责任：</w:t>
      </w:r>
      <w:r>
        <w:rPr>
          <w:rFonts w:hint="eastAsia"/>
          <w:color w:val="000000"/>
          <w:szCs w:val="21"/>
          <w:u w:val="single"/>
        </w:rPr>
        <w:t xml:space="preserve">     </w:t>
      </w:r>
      <w:r>
        <w:rPr>
          <w:rFonts w:hint="eastAsia"/>
          <w:color w:val="000000"/>
          <w:szCs w:val="21"/>
        </w:rPr>
        <w:t>。</w:t>
      </w:r>
    </w:p>
    <w:p w14:paraId="3E3C1585">
      <w:pPr>
        <w:spacing w:line="360" w:lineRule="auto"/>
        <w:rPr>
          <w:color w:val="000000"/>
          <w:szCs w:val="21"/>
        </w:rPr>
      </w:pPr>
      <w:r>
        <w:rPr>
          <w:rFonts w:hint="eastAsia"/>
          <w:color w:val="000000"/>
          <w:szCs w:val="21"/>
        </w:rPr>
        <w:t>（7）其他：</w:t>
      </w:r>
      <w:r>
        <w:rPr>
          <w:rFonts w:hint="eastAsia"/>
          <w:color w:val="000000"/>
          <w:szCs w:val="21"/>
          <w:u w:val="single"/>
        </w:rPr>
        <w:t xml:space="preserve">                                          </w:t>
      </w:r>
      <w:r>
        <w:rPr>
          <w:rFonts w:hint="eastAsia"/>
          <w:color w:val="000000"/>
          <w:szCs w:val="21"/>
        </w:rPr>
        <w:t>。</w:t>
      </w:r>
    </w:p>
    <w:p w14:paraId="72B9AE79">
      <w:pPr>
        <w:spacing w:line="360" w:lineRule="auto"/>
        <w:rPr>
          <w:color w:val="000000"/>
          <w:szCs w:val="21"/>
        </w:rPr>
      </w:pPr>
      <w:r>
        <w:rPr>
          <w:rFonts w:hint="eastAsia"/>
          <w:color w:val="000000"/>
          <w:szCs w:val="21"/>
        </w:rPr>
        <w:t>16.1.3 因发包人违约解除合同</w:t>
      </w:r>
    </w:p>
    <w:p w14:paraId="4829086C">
      <w:pPr>
        <w:adjustRightInd w:val="0"/>
        <w:spacing w:line="360" w:lineRule="auto"/>
        <w:rPr>
          <w:color w:val="000000"/>
          <w:szCs w:val="21"/>
        </w:rPr>
      </w:pPr>
      <w:r>
        <w:rPr>
          <w:rFonts w:hint="eastAsia"/>
          <w:color w:val="000000"/>
          <w:szCs w:val="21"/>
        </w:rPr>
        <w:t>承包人按16.1.1项〔发包人违约的情形〕约定暂停施工满</w:t>
      </w:r>
      <w:r>
        <w:rPr>
          <w:rFonts w:hint="eastAsia"/>
          <w:color w:val="000000"/>
          <w:szCs w:val="21"/>
          <w:u w:val="single"/>
        </w:rPr>
        <w:t xml:space="preserve">    </w:t>
      </w:r>
      <w:r>
        <w:rPr>
          <w:rFonts w:hint="eastAsia"/>
          <w:color w:val="000000"/>
          <w:szCs w:val="21"/>
        </w:rPr>
        <w:t>天后发包人仍不纠正其违约行为并致使合同目的不能实现的，承包人有权解除合同。</w:t>
      </w:r>
    </w:p>
    <w:p w14:paraId="6422B111">
      <w:pPr>
        <w:spacing w:line="360" w:lineRule="auto"/>
        <w:rPr>
          <w:color w:val="000000"/>
          <w:szCs w:val="21"/>
        </w:rPr>
      </w:pPr>
      <w:r>
        <w:rPr>
          <w:rFonts w:hint="eastAsia"/>
          <w:color w:val="000000"/>
          <w:szCs w:val="21"/>
        </w:rPr>
        <w:t>16.2 承包人违约</w:t>
      </w:r>
    </w:p>
    <w:p w14:paraId="026A584E">
      <w:pPr>
        <w:spacing w:line="360" w:lineRule="auto"/>
        <w:rPr>
          <w:color w:val="000000"/>
          <w:szCs w:val="21"/>
        </w:rPr>
      </w:pPr>
      <w:r>
        <w:rPr>
          <w:rFonts w:hint="eastAsia"/>
          <w:color w:val="000000"/>
          <w:szCs w:val="21"/>
        </w:rPr>
        <w:t>16.2.1 承包人违约的情形</w:t>
      </w:r>
    </w:p>
    <w:p w14:paraId="3533FE07">
      <w:pPr>
        <w:spacing w:line="360" w:lineRule="auto"/>
        <w:rPr>
          <w:color w:val="000000"/>
          <w:szCs w:val="21"/>
        </w:rPr>
      </w:pPr>
      <w:r>
        <w:rPr>
          <w:rFonts w:hint="eastAsia"/>
          <w:color w:val="000000"/>
          <w:szCs w:val="21"/>
        </w:rPr>
        <w:t>承包人违约的其他情形：</w:t>
      </w:r>
      <w:r>
        <w:rPr>
          <w:rFonts w:hint="eastAsia"/>
          <w:color w:val="000000"/>
          <w:szCs w:val="21"/>
          <w:u w:val="single"/>
        </w:rPr>
        <w:t xml:space="preserve">                         </w:t>
      </w:r>
      <w:r>
        <w:rPr>
          <w:rFonts w:hint="eastAsia"/>
          <w:color w:val="000000"/>
          <w:szCs w:val="21"/>
        </w:rPr>
        <w:t>。</w:t>
      </w:r>
    </w:p>
    <w:p w14:paraId="220BCF1B">
      <w:pPr>
        <w:spacing w:line="360" w:lineRule="auto"/>
        <w:rPr>
          <w:color w:val="000000"/>
          <w:szCs w:val="21"/>
        </w:rPr>
      </w:pPr>
      <w:r>
        <w:rPr>
          <w:rFonts w:hint="eastAsia"/>
          <w:color w:val="000000"/>
          <w:szCs w:val="21"/>
        </w:rPr>
        <w:t>16.2.2承包人违约的责任</w:t>
      </w:r>
    </w:p>
    <w:p w14:paraId="743C4774">
      <w:pPr>
        <w:spacing w:line="360" w:lineRule="auto"/>
        <w:rPr>
          <w:color w:val="000000"/>
          <w:szCs w:val="21"/>
        </w:rPr>
      </w:pPr>
      <w:r>
        <w:rPr>
          <w:rFonts w:hint="eastAsia"/>
          <w:color w:val="000000"/>
          <w:szCs w:val="21"/>
        </w:rPr>
        <w:t>承包人违约责任的承担方式和计算方法：</w:t>
      </w:r>
      <w:r>
        <w:rPr>
          <w:rFonts w:hint="eastAsia"/>
          <w:color w:val="000000"/>
          <w:szCs w:val="21"/>
          <w:u w:val="single"/>
        </w:rPr>
        <w:t xml:space="preserve">                  </w:t>
      </w:r>
      <w:r>
        <w:rPr>
          <w:rFonts w:hint="eastAsia"/>
          <w:color w:val="000000"/>
          <w:szCs w:val="21"/>
        </w:rPr>
        <w:t xml:space="preserve">。    </w:t>
      </w:r>
    </w:p>
    <w:p w14:paraId="73A484CA">
      <w:pPr>
        <w:spacing w:line="360" w:lineRule="auto"/>
        <w:rPr>
          <w:color w:val="000000"/>
          <w:szCs w:val="21"/>
        </w:rPr>
      </w:pPr>
      <w:r>
        <w:rPr>
          <w:rFonts w:hint="eastAsia"/>
          <w:color w:val="000000"/>
          <w:szCs w:val="21"/>
        </w:rPr>
        <w:t>16.2.3 因承包人违约解除合同</w:t>
      </w:r>
    </w:p>
    <w:p w14:paraId="4733928B">
      <w:pPr>
        <w:spacing w:line="360" w:lineRule="auto"/>
        <w:rPr>
          <w:color w:val="000000"/>
          <w:szCs w:val="21"/>
        </w:rPr>
      </w:pPr>
      <w:r>
        <w:rPr>
          <w:rFonts w:hint="eastAsia"/>
          <w:color w:val="000000"/>
          <w:szCs w:val="21"/>
        </w:rPr>
        <w:t>关于承包人违约解除合同的特别约定：</w:t>
      </w:r>
      <w:r>
        <w:rPr>
          <w:rFonts w:hint="eastAsia"/>
          <w:color w:val="000000"/>
          <w:szCs w:val="21"/>
          <w:u w:val="single"/>
        </w:rPr>
        <w:t xml:space="preserve">                   </w:t>
      </w:r>
      <w:r>
        <w:rPr>
          <w:rFonts w:hint="eastAsia"/>
          <w:color w:val="000000"/>
          <w:szCs w:val="21"/>
        </w:rPr>
        <w:t>。</w:t>
      </w:r>
    </w:p>
    <w:p w14:paraId="27ED2301">
      <w:pPr>
        <w:spacing w:line="360" w:lineRule="auto"/>
        <w:rPr>
          <w:color w:val="000000"/>
          <w:szCs w:val="21"/>
        </w:rPr>
      </w:pPr>
      <w:r>
        <w:rPr>
          <w:rFonts w:hint="eastAsia"/>
          <w:color w:val="000000"/>
          <w:szCs w:val="21"/>
        </w:rPr>
        <w:t>发包人继续使用承包人在施工现场的材料、设备、临时工程、承包人文件和由承包人或以其名义编制的其他文件的费用承担方式：</w:t>
      </w:r>
      <w:r>
        <w:rPr>
          <w:rFonts w:hint="eastAsia"/>
          <w:color w:val="000000"/>
          <w:szCs w:val="21"/>
          <w:u w:val="single"/>
        </w:rPr>
        <w:t xml:space="preserve">                                      </w:t>
      </w:r>
      <w:r>
        <w:rPr>
          <w:rFonts w:hint="eastAsia"/>
          <w:color w:val="000000"/>
          <w:szCs w:val="21"/>
        </w:rPr>
        <w:t>。</w:t>
      </w:r>
    </w:p>
    <w:p w14:paraId="75254421">
      <w:pPr>
        <w:adjustRightInd w:val="0"/>
        <w:spacing w:line="360" w:lineRule="auto"/>
        <w:rPr>
          <w:color w:val="000000"/>
          <w:szCs w:val="21"/>
        </w:rPr>
      </w:pPr>
      <w:bookmarkStart w:id="535" w:name="_Toc351203649"/>
      <w:r>
        <w:rPr>
          <w:rFonts w:hint="eastAsia"/>
          <w:color w:val="000000"/>
          <w:szCs w:val="21"/>
        </w:rPr>
        <w:t>17. 不可抗力</w:t>
      </w:r>
      <w:bookmarkEnd w:id="535"/>
      <w:r>
        <w:rPr>
          <w:rFonts w:hint="eastAsia"/>
          <w:color w:val="000000"/>
          <w:szCs w:val="21"/>
        </w:rPr>
        <w:t xml:space="preserve"> </w:t>
      </w:r>
      <w:bookmarkEnd w:id="533"/>
    </w:p>
    <w:p w14:paraId="1BD8CCEA">
      <w:pPr>
        <w:spacing w:line="360" w:lineRule="auto"/>
        <w:rPr>
          <w:color w:val="000000"/>
          <w:szCs w:val="21"/>
        </w:rPr>
      </w:pPr>
      <w:r>
        <w:rPr>
          <w:rFonts w:hint="eastAsia"/>
          <w:color w:val="000000"/>
          <w:szCs w:val="21"/>
        </w:rPr>
        <w:t>17.1 不可抗力的确认</w:t>
      </w:r>
    </w:p>
    <w:p w14:paraId="4C3D7BAD">
      <w:pPr>
        <w:spacing w:line="360" w:lineRule="auto"/>
        <w:rPr>
          <w:color w:val="000000"/>
          <w:szCs w:val="21"/>
          <w:u w:val="single"/>
        </w:rPr>
      </w:pPr>
      <w:r>
        <w:rPr>
          <w:rFonts w:hint="eastAsia"/>
          <w:color w:val="000000"/>
          <w:szCs w:val="21"/>
        </w:rPr>
        <w:t xml:space="preserve">除通用合同条款约定的不可抗力事件之外，视为不可抗力的其他情形： </w:t>
      </w:r>
      <w:r>
        <w:rPr>
          <w:rFonts w:hint="eastAsia"/>
          <w:color w:val="000000"/>
          <w:szCs w:val="21"/>
          <w:u w:val="single"/>
        </w:rPr>
        <w:t xml:space="preserve">                  </w:t>
      </w:r>
      <w:r>
        <w:rPr>
          <w:rFonts w:hint="eastAsia"/>
          <w:color w:val="000000"/>
          <w:szCs w:val="21"/>
        </w:rPr>
        <w:t>。</w:t>
      </w:r>
    </w:p>
    <w:p w14:paraId="2AB35AF5">
      <w:pPr>
        <w:spacing w:line="360" w:lineRule="auto"/>
        <w:rPr>
          <w:color w:val="000000"/>
          <w:szCs w:val="21"/>
        </w:rPr>
      </w:pPr>
      <w:r>
        <w:rPr>
          <w:rFonts w:hint="eastAsia"/>
          <w:color w:val="000000"/>
          <w:szCs w:val="21"/>
        </w:rPr>
        <w:t>17.4 因不可抗力解除合同</w:t>
      </w:r>
    </w:p>
    <w:p w14:paraId="4A7D5390">
      <w:pPr>
        <w:spacing w:line="360" w:lineRule="auto"/>
        <w:rPr>
          <w:color w:val="000000"/>
          <w:szCs w:val="21"/>
        </w:rPr>
      </w:pPr>
      <w:r>
        <w:rPr>
          <w:rFonts w:hint="eastAsia"/>
          <w:color w:val="000000"/>
          <w:szCs w:val="21"/>
        </w:rPr>
        <w:t>合同解除后，发包人应在商定或确定发包人应支付款项后</w:t>
      </w:r>
      <w:r>
        <w:rPr>
          <w:rFonts w:hint="eastAsia"/>
          <w:color w:val="000000"/>
          <w:szCs w:val="21"/>
          <w:u w:val="single"/>
        </w:rPr>
        <w:t xml:space="preserve">    </w:t>
      </w:r>
      <w:r>
        <w:rPr>
          <w:rFonts w:hint="eastAsia"/>
          <w:color w:val="000000"/>
          <w:szCs w:val="21"/>
        </w:rPr>
        <w:t>天内完成款项的支付。</w:t>
      </w:r>
      <w:bookmarkStart w:id="536" w:name="_Toc351203650"/>
    </w:p>
    <w:p w14:paraId="3FB3E505">
      <w:pPr>
        <w:numPr>
          <w:ilvl w:val="0"/>
          <w:numId w:val="7"/>
        </w:numPr>
        <w:autoSpaceDE/>
        <w:autoSpaceDN/>
        <w:spacing w:line="360" w:lineRule="auto"/>
        <w:rPr>
          <w:bCs/>
          <w:color w:val="000000"/>
          <w:szCs w:val="21"/>
        </w:rPr>
      </w:pPr>
      <w:r>
        <w:rPr>
          <w:rFonts w:hint="eastAsia"/>
          <w:bCs/>
          <w:color w:val="000000"/>
          <w:szCs w:val="21"/>
        </w:rPr>
        <w:t>保险</w:t>
      </w:r>
      <w:bookmarkEnd w:id="534"/>
      <w:bookmarkEnd w:id="536"/>
    </w:p>
    <w:p w14:paraId="22EA843C">
      <w:pPr>
        <w:spacing w:line="360" w:lineRule="auto"/>
        <w:rPr>
          <w:color w:val="000000"/>
          <w:szCs w:val="21"/>
        </w:rPr>
      </w:pPr>
      <w:r>
        <w:rPr>
          <w:rFonts w:hint="eastAsia"/>
          <w:color w:val="000000"/>
          <w:szCs w:val="21"/>
        </w:rPr>
        <w:t>18.1 工程保险</w:t>
      </w:r>
    </w:p>
    <w:p w14:paraId="6CDAEA6F">
      <w:pPr>
        <w:spacing w:line="360" w:lineRule="auto"/>
        <w:rPr>
          <w:color w:val="000000"/>
          <w:szCs w:val="21"/>
        </w:rPr>
      </w:pPr>
      <w:r>
        <w:rPr>
          <w:rFonts w:hint="eastAsia"/>
          <w:color w:val="000000"/>
          <w:szCs w:val="21"/>
        </w:rPr>
        <w:t>关于工程保险的特别约定：</w:t>
      </w:r>
      <w:r>
        <w:rPr>
          <w:rFonts w:hint="eastAsia"/>
          <w:color w:val="000000"/>
          <w:szCs w:val="21"/>
          <w:u w:val="single"/>
        </w:rPr>
        <w:t xml:space="preserve">                              </w:t>
      </w:r>
      <w:r>
        <w:rPr>
          <w:rFonts w:hint="eastAsia"/>
          <w:color w:val="000000"/>
          <w:szCs w:val="21"/>
        </w:rPr>
        <w:t>。</w:t>
      </w:r>
    </w:p>
    <w:p w14:paraId="58AAF3EC">
      <w:pPr>
        <w:spacing w:line="360" w:lineRule="auto"/>
        <w:rPr>
          <w:color w:val="000000"/>
          <w:szCs w:val="21"/>
        </w:rPr>
      </w:pPr>
      <w:r>
        <w:rPr>
          <w:rFonts w:hint="eastAsia"/>
          <w:color w:val="000000"/>
          <w:szCs w:val="21"/>
        </w:rPr>
        <w:t>18.3 其他保险</w:t>
      </w:r>
    </w:p>
    <w:p w14:paraId="24C9F911">
      <w:pPr>
        <w:spacing w:line="360" w:lineRule="auto"/>
        <w:rPr>
          <w:color w:val="000000"/>
          <w:szCs w:val="21"/>
        </w:rPr>
      </w:pPr>
      <w:r>
        <w:rPr>
          <w:rFonts w:hint="eastAsia"/>
          <w:color w:val="000000"/>
          <w:szCs w:val="21"/>
        </w:rPr>
        <w:t>关于其他保险的约定：</w:t>
      </w:r>
      <w:r>
        <w:rPr>
          <w:rFonts w:hint="eastAsia"/>
          <w:color w:val="000000"/>
          <w:szCs w:val="21"/>
          <w:u w:val="single"/>
        </w:rPr>
        <w:t xml:space="preserve">                                  </w:t>
      </w:r>
      <w:r>
        <w:rPr>
          <w:rFonts w:hint="eastAsia"/>
          <w:color w:val="000000"/>
          <w:szCs w:val="21"/>
        </w:rPr>
        <w:t>。</w:t>
      </w:r>
    </w:p>
    <w:p w14:paraId="3AFF552E">
      <w:pPr>
        <w:spacing w:line="360" w:lineRule="auto"/>
        <w:rPr>
          <w:color w:val="000000"/>
          <w:szCs w:val="21"/>
        </w:rPr>
      </w:pPr>
      <w:r>
        <w:rPr>
          <w:rFonts w:hint="eastAsia"/>
          <w:color w:val="000000"/>
          <w:szCs w:val="21"/>
        </w:rPr>
        <w:t>承包人是否应为其施工设备等办理财产保险：</w:t>
      </w:r>
      <w:r>
        <w:rPr>
          <w:rFonts w:hint="eastAsia"/>
          <w:color w:val="000000"/>
          <w:szCs w:val="21"/>
          <w:u w:val="single"/>
        </w:rPr>
        <w:t xml:space="preserve">                 </w:t>
      </w:r>
      <w:r>
        <w:rPr>
          <w:rFonts w:hint="eastAsia"/>
          <w:color w:val="000000"/>
          <w:szCs w:val="21"/>
        </w:rPr>
        <w:t>。</w:t>
      </w:r>
    </w:p>
    <w:p w14:paraId="01552EEE">
      <w:pPr>
        <w:spacing w:line="360" w:lineRule="auto"/>
        <w:rPr>
          <w:color w:val="000000"/>
          <w:szCs w:val="21"/>
        </w:rPr>
      </w:pPr>
      <w:r>
        <w:rPr>
          <w:rFonts w:hint="eastAsia"/>
          <w:color w:val="000000"/>
          <w:szCs w:val="21"/>
        </w:rPr>
        <w:t>18.7 通知义务</w:t>
      </w:r>
    </w:p>
    <w:p w14:paraId="23A880A0">
      <w:pPr>
        <w:spacing w:line="360" w:lineRule="auto"/>
        <w:rPr>
          <w:color w:val="000000"/>
          <w:szCs w:val="21"/>
        </w:rPr>
      </w:pPr>
      <w:r>
        <w:rPr>
          <w:rFonts w:hint="eastAsia"/>
          <w:color w:val="000000"/>
          <w:szCs w:val="21"/>
        </w:rPr>
        <w:t>关于变更保险合同时的通知义务的约定：</w:t>
      </w:r>
      <w:r>
        <w:rPr>
          <w:rFonts w:hint="eastAsia"/>
          <w:color w:val="000000"/>
          <w:szCs w:val="21"/>
          <w:u w:val="single"/>
        </w:rPr>
        <w:t xml:space="preserve">                      </w:t>
      </w:r>
      <w:r>
        <w:rPr>
          <w:rFonts w:hint="eastAsia"/>
          <w:color w:val="000000"/>
          <w:szCs w:val="21"/>
        </w:rPr>
        <w:t>。</w:t>
      </w:r>
      <w:bookmarkEnd w:id="517"/>
      <w:bookmarkEnd w:id="518"/>
      <w:bookmarkEnd w:id="519"/>
      <w:bookmarkEnd w:id="520"/>
      <w:bookmarkEnd w:id="521"/>
      <w:bookmarkEnd w:id="522"/>
      <w:bookmarkEnd w:id="523"/>
      <w:bookmarkEnd w:id="524"/>
      <w:bookmarkEnd w:id="525"/>
      <w:bookmarkEnd w:id="526"/>
      <w:bookmarkEnd w:id="527"/>
      <w:bookmarkEnd w:id="528"/>
      <w:bookmarkStart w:id="537" w:name="_Toc351203651"/>
    </w:p>
    <w:p w14:paraId="5C25CB43">
      <w:pPr>
        <w:spacing w:line="360" w:lineRule="auto"/>
        <w:rPr>
          <w:bCs/>
          <w:color w:val="000000"/>
          <w:szCs w:val="21"/>
        </w:rPr>
      </w:pPr>
      <w:r>
        <w:rPr>
          <w:rFonts w:hint="eastAsia"/>
          <w:bCs/>
          <w:color w:val="000000"/>
          <w:szCs w:val="21"/>
        </w:rPr>
        <w:t>20. 争议解决</w:t>
      </w:r>
      <w:bookmarkEnd w:id="537"/>
    </w:p>
    <w:bookmarkEnd w:id="529"/>
    <w:bookmarkEnd w:id="530"/>
    <w:p w14:paraId="3A60CD7B">
      <w:pPr>
        <w:spacing w:line="360" w:lineRule="auto"/>
        <w:rPr>
          <w:color w:val="000000"/>
          <w:szCs w:val="21"/>
        </w:rPr>
      </w:pPr>
      <w:r>
        <w:rPr>
          <w:rFonts w:hint="eastAsia"/>
          <w:color w:val="000000"/>
          <w:szCs w:val="21"/>
        </w:rPr>
        <w:t>20.3 争</w:t>
      </w:r>
      <w:bookmarkEnd w:id="531"/>
      <w:r>
        <w:rPr>
          <w:rFonts w:hint="eastAsia"/>
          <w:color w:val="000000"/>
          <w:szCs w:val="21"/>
        </w:rPr>
        <w:t>议评审</w:t>
      </w:r>
    </w:p>
    <w:p w14:paraId="4655B320">
      <w:pPr>
        <w:spacing w:line="360" w:lineRule="auto"/>
        <w:rPr>
          <w:color w:val="000000"/>
          <w:szCs w:val="21"/>
        </w:rPr>
      </w:pPr>
      <w:r>
        <w:rPr>
          <w:rFonts w:hint="eastAsia"/>
          <w:color w:val="000000"/>
          <w:szCs w:val="21"/>
        </w:rPr>
        <w:t>合同当事人是否同意将工程争议提交争议评审小组决定：</w:t>
      </w:r>
      <w:r>
        <w:rPr>
          <w:rFonts w:hint="eastAsia"/>
          <w:color w:val="000000"/>
          <w:szCs w:val="21"/>
          <w:u w:val="single"/>
        </w:rPr>
        <w:t xml:space="preserve">              </w:t>
      </w:r>
      <w:r>
        <w:rPr>
          <w:rFonts w:hint="eastAsia"/>
          <w:color w:val="000000"/>
          <w:szCs w:val="21"/>
        </w:rPr>
        <w:t xml:space="preserve">。  </w:t>
      </w:r>
    </w:p>
    <w:p w14:paraId="63C60FFA">
      <w:pPr>
        <w:spacing w:line="360" w:lineRule="auto"/>
        <w:rPr>
          <w:color w:val="000000"/>
          <w:szCs w:val="21"/>
        </w:rPr>
      </w:pPr>
      <w:r>
        <w:rPr>
          <w:rFonts w:hint="eastAsia"/>
          <w:color w:val="000000"/>
          <w:szCs w:val="21"/>
        </w:rPr>
        <w:t>20.3.1 争议评审小组的确定</w:t>
      </w:r>
    </w:p>
    <w:p w14:paraId="5B3EDA05">
      <w:pPr>
        <w:spacing w:line="360" w:lineRule="auto"/>
        <w:rPr>
          <w:color w:val="000000"/>
          <w:szCs w:val="21"/>
          <w:u w:val="single"/>
        </w:rPr>
      </w:pPr>
      <w:r>
        <w:rPr>
          <w:rFonts w:hint="eastAsia"/>
          <w:color w:val="000000"/>
          <w:szCs w:val="21"/>
        </w:rPr>
        <w:t>争议评审小组成员的确定：</w:t>
      </w:r>
      <w:r>
        <w:rPr>
          <w:rFonts w:hint="eastAsia"/>
          <w:color w:val="000000"/>
          <w:szCs w:val="21"/>
          <w:u w:val="single"/>
        </w:rPr>
        <w:t xml:space="preserve">                             </w:t>
      </w:r>
      <w:r>
        <w:rPr>
          <w:rFonts w:hint="eastAsia"/>
          <w:color w:val="000000"/>
          <w:szCs w:val="21"/>
        </w:rPr>
        <w:t>。</w:t>
      </w:r>
    </w:p>
    <w:p w14:paraId="20356C4F">
      <w:pPr>
        <w:spacing w:line="360" w:lineRule="auto"/>
        <w:rPr>
          <w:color w:val="000000"/>
          <w:szCs w:val="21"/>
        </w:rPr>
      </w:pPr>
      <w:r>
        <w:rPr>
          <w:rFonts w:hint="eastAsia"/>
          <w:color w:val="000000"/>
          <w:szCs w:val="21"/>
        </w:rPr>
        <w:t>选定争议评审员的期限：</w:t>
      </w:r>
      <w:r>
        <w:rPr>
          <w:rFonts w:hint="eastAsia"/>
          <w:color w:val="000000"/>
          <w:szCs w:val="21"/>
          <w:u w:val="single"/>
        </w:rPr>
        <w:t xml:space="preserve">                               </w:t>
      </w:r>
      <w:r>
        <w:rPr>
          <w:rFonts w:hint="eastAsia"/>
          <w:color w:val="000000"/>
          <w:szCs w:val="21"/>
        </w:rPr>
        <w:t>。</w:t>
      </w:r>
    </w:p>
    <w:p w14:paraId="25FA7058">
      <w:pPr>
        <w:spacing w:line="360" w:lineRule="auto"/>
        <w:rPr>
          <w:color w:val="000000"/>
          <w:szCs w:val="21"/>
        </w:rPr>
      </w:pPr>
      <w:r>
        <w:rPr>
          <w:rFonts w:hint="eastAsia"/>
          <w:color w:val="000000"/>
          <w:szCs w:val="21"/>
        </w:rPr>
        <w:t>争议评审小组成员的报酬承担方式：</w:t>
      </w:r>
      <w:r>
        <w:rPr>
          <w:rFonts w:hint="eastAsia"/>
          <w:color w:val="000000"/>
          <w:szCs w:val="21"/>
          <w:u w:val="single"/>
        </w:rPr>
        <w:t xml:space="preserve">                     </w:t>
      </w:r>
      <w:r>
        <w:rPr>
          <w:rFonts w:hint="eastAsia"/>
          <w:color w:val="000000"/>
          <w:szCs w:val="21"/>
        </w:rPr>
        <w:t>。</w:t>
      </w:r>
    </w:p>
    <w:p w14:paraId="4D88264F">
      <w:pPr>
        <w:spacing w:line="360" w:lineRule="auto"/>
        <w:rPr>
          <w:color w:val="000000"/>
          <w:szCs w:val="21"/>
        </w:rPr>
      </w:pPr>
      <w:r>
        <w:rPr>
          <w:rFonts w:hint="eastAsia"/>
          <w:color w:val="000000"/>
          <w:szCs w:val="21"/>
        </w:rPr>
        <w:t>其他事项的约定：</w:t>
      </w:r>
      <w:r>
        <w:rPr>
          <w:rFonts w:hint="eastAsia"/>
          <w:color w:val="000000"/>
          <w:szCs w:val="21"/>
          <w:u w:val="single"/>
        </w:rPr>
        <w:t xml:space="preserve">                                     </w:t>
      </w:r>
      <w:r>
        <w:rPr>
          <w:rFonts w:hint="eastAsia"/>
          <w:color w:val="000000"/>
          <w:szCs w:val="21"/>
        </w:rPr>
        <w:t>。</w:t>
      </w:r>
    </w:p>
    <w:p w14:paraId="48F8E8ED">
      <w:pPr>
        <w:adjustRightInd w:val="0"/>
        <w:spacing w:line="360" w:lineRule="auto"/>
        <w:rPr>
          <w:color w:val="000000"/>
          <w:szCs w:val="21"/>
        </w:rPr>
      </w:pPr>
      <w:r>
        <w:rPr>
          <w:rFonts w:hint="eastAsia"/>
          <w:color w:val="000000"/>
          <w:szCs w:val="21"/>
        </w:rPr>
        <w:t>20.3.2 争议评审小组的决定</w:t>
      </w:r>
    </w:p>
    <w:p w14:paraId="3E3D0D08">
      <w:pPr>
        <w:spacing w:line="360" w:lineRule="auto"/>
        <w:rPr>
          <w:color w:val="000000"/>
          <w:szCs w:val="21"/>
        </w:rPr>
      </w:pPr>
      <w:r>
        <w:rPr>
          <w:rFonts w:hint="eastAsia"/>
          <w:color w:val="000000"/>
          <w:szCs w:val="21"/>
        </w:rPr>
        <w:t>合同当事人关于本项的约定：</w:t>
      </w:r>
      <w:r>
        <w:rPr>
          <w:rFonts w:hint="eastAsia"/>
          <w:color w:val="000000"/>
          <w:szCs w:val="21"/>
          <w:u w:val="single"/>
        </w:rPr>
        <w:t xml:space="preserve">                           </w:t>
      </w:r>
      <w:r>
        <w:rPr>
          <w:rFonts w:hint="eastAsia"/>
          <w:color w:val="000000"/>
          <w:szCs w:val="21"/>
        </w:rPr>
        <w:t>。</w:t>
      </w:r>
    </w:p>
    <w:p w14:paraId="1D6CFB66">
      <w:pPr>
        <w:spacing w:line="360" w:lineRule="auto"/>
        <w:rPr>
          <w:color w:val="000000"/>
          <w:szCs w:val="21"/>
        </w:rPr>
      </w:pPr>
      <w:r>
        <w:rPr>
          <w:rFonts w:hint="eastAsia"/>
          <w:color w:val="000000"/>
          <w:szCs w:val="21"/>
        </w:rPr>
        <w:t>20.4仲裁或诉讼</w:t>
      </w:r>
    </w:p>
    <w:p w14:paraId="532A9CC1">
      <w:pPr>
        <w:spacing w:line="360" w:lineRule="auto"/>
        <w:rPr>
          <w:color w:val="000000"/>
          <w:szCs w:val="21"/>
        </w:rPr>
      </w:pPr>
      <w:r>
        <w:rPr>
          <w:rFonts w:hint="eastAsia"/>
          <w:color w:val="000000"/>
          <w:szCs w:val="21"/>
        </w:rPr>
        <w:t>因合同及合同有关事项发生的争议，按下列第</w:t>
      </w:r>
      <w:r>
        <w:rPr>
          <w:rFonts w:hint="eastAsia"/>
          <w:color w:val="000000"/>
          <w:szCs w:val="21"/>
          <w:u w:val="single"/>
        </w:rPr>
        <w:t xml:space="preserve">     </w:t>
      </w:r>
      <w:r>
        <w:rPr>
          <w:rFonts w:hint="eastAsia"/>
          <w:color w:val="000000"/>
          <w:szCs w:val="21"/>
        </w:rPr>
        <w:t>种方式解决：</w:t>
      </w:r>
    </w:p>
    <w:p w14:paraId="75255E33">
      <w:pPr>
        <w:spacing w:line="360" w:lineRule="auto"/>
        <w:rPr>
          <w:color w:val="000000"/>
          <w:szCs w:val="21"/>
        </w:rPr>
      </w:pPr>
      <w:r>
        <w:rPr>
          <w:rFonts w:hint="eastAsia"/>
          <w:color w:val="000000"/>
          <w:szCs w:val="21"/>
        </w:rPr>
        <w:t>（1）向</w:t>
      </w:r>
      <w:r>
        <w:rPr>
          <w:rFonts w:hint="eastAsia"/>
          <w:color w:val="000000"/>
          <w:szCs w:val="21"/>
          <w:u w:val="single"/>
        </w:rPr>
        <w:t xml:space="preserve">                     </w:t>
      </w:r>
      <w:r>
        <w:rPr>
          <w:rFonts w:hint="eastAsia"/>
          <w:color w:val="000000"/>
          <w:szCs w:val="21"/>
        </w:rPr>
        <w:t>仲裁委员会申请仲裁；</w:t>
      </w:r>
    </w:p>
    <w:p w14:paraId="3B779CAD">
      <w:pPr>
        <w:spacing w:line="360" w:lineRule="auto"/>
        <w:rPr>
          <w:color w:val="000000"/>
          <w:szCs w:val="21"/>
        </w:rPr>
      </w:pPr>
      <w:r>
        <w:rPr>
          <w:rFonts w:hint="eastAsia"/>
          <w:color w:val="000000"/>
          <w:szCs w:val="21"/>
        </w:rPr>
        <w:t>（2）向</w:t>
      </w:r>
      <w:r>
        <w:rPr>
          <w:rFonts w:hint="eastAsia"/>
          <w:color w:val="000000"/>
          <w:szCs w:val="21"/>
          <w:u w:val="single"/>
        </w:rPr>
        <w:t xml:space="preserve">                     </w:t>
      </w:r>
      <w:r>
        <w:rPr>
          <w:rFonts w:hint="eastAsia"/>
          <w:color w:val="000000"/>
          <w:szCs w:val="21"/>
        </w:rPr>
        <w:t>人民法院起诉。</w:t>
      </w:r>
    </w:p>
    <w:p w14:paraId="369FC8C7">
      <w:pPr>
        <w:pStyle w:val="18"/>
        <w:rPr>
          <w:sz w:val="20"/>
        </w:rPr>
        <w:sectPr>
          <w:pgSz w:w="11920" w:h="16850"/>
          <w:pgMar w:top="1420" w:right="992" w:bottom="1100" w:left="1133" w:header="0" w:footer="913" w:gutter="0"/>
          <w:cols w:space="720" w:num="1"/>
        </w:sectPr>
      </w:pPr>
    </w:p>
    <w:p w14:paraId="777C4DC4">
      <w:pPr>
        <w:pStyle w:val="2"/>
        <w:tabs>
          <w:tab w:val="left" w:pos="1449"/>
        </w:tabs>
        <w:ind w:right="87"/>
        <w:rPr>
          <w:rFonts w:ascii="宋体" w:hAnsi="宋体" w:eastAsia="宋体"/>
        </w:rPr>
      </w:pPr>
      <w:bookmarkStart w:id="538" w:name="第五章__工程量清单及图纸"/>
      <w:bookmarkEnd w:id="538"/>
      <w:bookmarkStart w:id="539" w:name="_Toc202272256"/>
      <w:r>
        <w:rPr>
          <w:rFonts w:ascii="宋体" w:hAnsi="宋体" w:eastAsia="宋体"/>
        </w:rPr>
        <w:t>第五</w:t>
      </w:r>
      <w:r>
        <w:rPr>
          <w:rFonts w:ascii="宋体" w:hAnsi="宋体" w:eastAsia="宋体"/>
          <w:spacing w:val="-10"/>
        </w:rPr>
        <w:t>章</w:t>
      </w:r>
      <w:r>
        <w:rPr>
          <w:rFonts w:ascii="宋体" w:hAnsi="宋体" w:eastAsia="宋体"/>
        </w:rPr>
        <w:tab/>
      </w:r>
      <w:r>
        <w:rPr>
          <w:rFonts w:ascii="宋体" w:hAnsi="宋体" w:eastAsia="宋体"/>
        </w:rPr>
        <w:t>工程量清单及图</w:t>
      </w:r>
      <w:r>
        <w:rPr>
          <w:rFonts w:ascii="宋体" w:hAnsi="宋体" w:eastAsia="宋体"/>
          <w:spacing w:val="-10"/>
        </w:rPr>
        <w:t>纸</w:t>
      </w:r>
      <w:bookmarkEnd w:id="539"/>
    </w:p>
    <w:p w14:paraId="1964388B">
      <w:pPr>
        <w:spacing w:line="360" w:lineRule="auto"/>
        <w:rPr>
          <w:b/>
        </w:rPr>
      </w:pPr>
      <w:r>
        <w:rPr>
          <w:b/>
        </w:rPr>
        <w:t>一、工程量清单（另册）</w:t>
      </w:r>
    </w:p>
    <w:p w14:paraId="290D9E8F">
      <w:pPr>
        <w:spacing w:line="360" w:lineRule="auto"/>
        <w:rPr>
          <w:b/>
        </w:rPr>
      </w:pPr>
      <w:r>
        <w:rPr>
          <w:b/>
        </w:rPr>
        <w:t>二、工程量清单编制说明</w:t>
      </w:r>
    </w:p>
    <w:p w14:paraId="5A662A09">
      <w:pPr>
        <w:spacing w:line="360" w:lineRule="auto"/>
        <w:rPr>
          <w:b/>
        </w:rPr>
      </w:pPr>
      <w:r>
        <w:rPr>
          <w:b/>
        </w:rPr>
        <w:t>三、图纸（另册）</w:t>
      </w:r>
    </w:p>
    <w:p w14:paraId="60F5EB20">
      <w:pPr>
        <w:spacing w:line="304" w:lineRule="auto"/>
        <w:rPr>
          <w:b/>
          <w:sz w:val="21"/>
        </w:rPr>
        <w:sectPr>
          <w:pgSz w:w="11920" w:h="16850"/>
          <w:pgMar w:top="1440" w:right="992" w:bottom="1100" w:left="1133" w:header="0" w:footer="913" w:gutter="0"/>
          <w:cols w:space="720" w:num="1"/>
        </w:sectPr>
      </w:pPr>
    </w:p>
    <w:p w14:paraId="68DC4680">
      <w:pPr>
        <w:pStyle w:val="2"/>
        <w:tabs>
          <w:tab w:val="left" w:pos="1449"/>
        </w:tabs>
        <w:rPr>
          <w:rFonts w:ascii="宋体" w:hAnsi="宋体" w:eastAsia="宋体"/>
        </w:rPr>
      </w:pPr>
      <w:bookmarkStart w:id="540" w:name="第六章__技术标准和要求"/>
      <w:bookmarkEnd w:id="540"/>
      <w:bookmarkStart w:id="541" w:name="_Toc202272257"/>
      <w:r>
        <w:rPr>
          <w:rFonts w:ascii="宋体" w:hAnsi="宋体" w:eastAsia="宋体"/>
        </w:rPr>
        <w:t>第六</w:t>
      </w:r>
      <w:r>
        <w:rPr>
          <w:rFonts w:ascii="宋体" w:hAnsi="宋体" w:eastAsia="宋体"/>
          <w:spacing w:val="-10"/>
        </w:rPr>
        <w:t>章</w:t>
      </w:r>
      <w:r>
        <w:rPr>
          <w:rFonts w:ascii="宋体" w:hAnsi="宋体" w:eastAsia="宋体"/>
        </w:rPr>
        <w:tab/>
      </w:r>
      <w:r>
        <w:rPr>
          <w:rFonts w:ascii="宋体" w:hAnsi="宋体" w:eastAsia="宋体"/>
        </w:rPr>
        <w:t>技术标准和要</w:t>
      </w:r>
      <w:r>
        <w:rPr>
          <w:rFonts w:ascii="宋体" w:hAnsi="宋体" w:eastAsia="宋体"/>
          <w:spacing w:val="-10"/>
        </w:rPr>
        <w:t>求</w:t>
      </w:r>
      <w:bookmarkEnd w:id="541"/>
    </w:p>
    <w:p w14:paraId="682B1AE1">
      <w:pPr>
        <w:spacing w:line="360" w:lineRule="auto"/>
        <w:ind w:firstLine="420" w:firstLineChars="200"/>
        <w:rPr>
          <w:sz w:val="21"/>
          <w:szCs w:val="21"/>
        </w:rPr>
      </w:pPr>
      <w:r>
        <w:rPr>
          <w:sz w:val="21"/>
          <w:szCs w:val="21"/>
        </w:rPr>
        <w:t>依据设计施工图纸和技术文件要求，本工程项目的材料、设备、施工必须达到现行中华人民共和国及省、市、行业的一切有关法规、规范的要求，如标准及规范要求有出入则以较严格者为准。</w:t>
      </w:r>
    </w:p>
    <w:p w14:paraId="512DE752">
      <w:pPr>
        <w:spacing w:line="360" w:lineRule="auto"/>
        <w:ind w:firstLine="420" w:firstLineChars="200"/>
        <w:rPr>
          <w:sz w:val="21"/>
          <w:szCs w:val="21"/>
        </w:rPr>
      </w:pPr>
      <w:r>
        <w:rPr>
          <w:sz w:val="21"/>
          <w:szCs w:val="21"/>
        </w:rPr>
        <w:t>注：</w:t>
      </w:r>
    </w:p>
    <w:p w14:paraId="55649557">
      <w:pPr>
        <w:spacing w:line="360" w:lineRule="auto"/>
        <w:ind w:firstLine="420" w:firstLineChars="200"/>
        <w:rPr>
          <w:sz w:val="21"/>
          <w:szCs w:val="21"/>
        </w:rPr>
      </w:pPr>
      <w:r>
        <w:rPr>
          <w:sz w:val="21"/>
          <w:szCs w:val="21"/>
        </w:rPr>
        <w:t>执行标准，如国家有新标准按新标准执行。</w:t>
      </w:r>
    </w:p>
    <w:p w14:paraId="7739B336">
      <w:pPr>
        <w:spacing w:line="360" w:lineRule="auto"/>
        <w:ind w:firstLine="420" w:firstLineChars="200"/>
        <w:rPr>
          <w:sz w:val="21"/>
          <w:szCs w:val="21"/>
        </w:rPr>
      </w:pPr>
      <w:r>
        <w:rPr>
          <w:sz w:val="21"/>
          <w:szCs w:val="21"/>
        </w:rPr>
        <w:t>凡工程中涉及到的但本条中又未列出的设计验收规范均以国家或河南省现行的规范及标准执行。</w:t>
      </w:r>
    </w:p>
    <w:p w14:paraId="207CE507">
      <w:pPr>
        <w:spacing w:line="360" w:lineRule="auto"/>
        <w:ind w:firstLine="420" w:firstLineChars="200"/>
        <w:rPr>
          <w:sz w:val="21"/>
          <w:szCs w:val="21"/>
        </w:rPr>
      </w:pPr>
      <w:r>
        <w:rPr>
          <w:sz w:val="21"/>
          <w:szCs w:val="21"/>
        </w:rPr>
        <w:t>相关规范、标准在使用过程中，如有不明确或不一致之处，以标准要求高的或工程师指定的规范为准，如工程在施工期间国家对其有所修改，监理工程师在与发包人协商后决定是否进行相应的变更，并将结果以书面形式通知承包人。</w:t>
      </w:r>
    </w:p>
    <w:p w14:paraId="2084D37D">
      <w:pPr>
        <w:pStyle w:val="75"/>
        <w:spacing w:line="364" w:lineRule="auto"/>
        <w:jc w:val="both"/>
        <w:rPr>
          <w:sz w:val="21"/>
        </w:rPr>
        <w:sectPr>
          <w:pgSz w:w="11920" w:h="16850"/>
          <w:pgMar w:top="1440" w:right="992" w:bottom="1100" w:left="1133" w:header="0" w:footer="913" w:gutter="0"/>
          <w:cols w:space="720" w:num="1"/>
        </w:sectPr>
      </w:pPr>
    </w:p>
    <w:p w14:paraId="62A349A8">
      <w:pPr>
        <w:pStyle w:val="2"/>
        <w:tabs>
          <w:tab w:val="left" w:pos="1449"/>
        </w:tabs>
        <w:ind w:right="87"/>
        <w:rPr>
          <w:rFonts w:ascii="宋体" w:hAnsi="宋体" w:eastAsia="宋体"/>
        </w:rPr>
      </w:pPr>
      <w:bookmarkStart w:id="542" w:name="第七章__响应文件格式"/>
      <w:bookmarkEnd w:id="542"/>
      <w:bookmarkStart w:id="543" w:name="_Toc202272258"/>
      <w:r>
        <w:rPr>
          <w:rFonts w:ascii="宋体" w:hAnsi="宋体" w:eastAsia="宋体"/>
        </w:rPr>
        <w:t>第七</w:t>
      </w:r>
      <w:r>
        <w:rPr>
          <w:rFonts w:ascii="宋体" w:hAnsi="宋体" w:eastAsia="宋体"/>
          <w:spacing w:val="-10"/>
        </w:rPr>
        <w:t>章</w:t>
      </w:r>
      <w:r>
        <w:rPr>
          <w:rFonts w:ascii="宋体" w:hAnsi="宋体" w:eastAsia="宋体"/>
        </w:rPr>
        <w:tab/>
      </w:r>
      <w:r>
        <w:rPr>
          <w:rFonts w:ascii="宋体" w:hAnsi="宋体" w:eastAsia="宋体"/>
        </w:rPr>
        <w:t>响应文件格</w:t>
      </w:r>
      <w:r>
        <w:rPr>
          <w:rFonts w:ascii="宋体" w:hAnsi="宋体" w:eastAsia="宋体"/>
          <w:spacing w:val="-10"/>
        </w:rPr>
        <w:t>式</w:t>
      </w:r>
      <w:bookmarkEnd w:id="543"/>
    </w:p>
    <w:p w14:paraId="21D16C4F">
      <w:pPr>
        <w:pStyle w:val="18"/>
        <w:ind w:left="0"/>
        <w:rPr>
          <w:b/>
          <w:sz w:val="36"/>
        </w:rPr>
      </w:pPr>
    </w:p>
    <w:p w14:paraId="6F7A7EE5">
      <w:pPr>
        <w:pStyle w:val="18"/>
        <w:spacing w:before="164"/>
        <w:ind w:left="0"/>
        <w:rPr>
          <w:b/>
          <w:sz w:val="36"/>
        </w:rPr>
      </w:pPr>
    </w:p>
    <w:p w14:paraId="236A6E6B">
      <w:pPr>
        <w:ind w:right="87"/>
        <w:jc w:val="center"/>
        <w:rPr>
          <w:b/>
          <w:sz w:val="40"/>
        </w:rPr>
      </w:pPr>
      <w:r>
        <w:rPr>
          <w:rFonts w:hint="eastAsia"/>
          <w:b/>
          <w:spacing w:val="-1"/>
          <w:sz w:val="40"/>
        </w:rPr>
        <w:t>河南医药健康技师学院分析检验实训中心建设项目</w:t>
      </w:r>
    </w:p>
    <w:p w14:paraId="6DEE0055">
      <w:pPr>
        <w:pStyle w:val="5"/>
        <w:spacing w:before="621" w:line="240" w:lineRule="auto"/>
        <w:ind w:right="86"/>
        <w:rPr>
          <w:rFonts w:ascii="宋体" w:hAnsi="宋体" w:eastAsia="宋体"/>
        </w:rPr>
      </w:pPr>
      <w:r>
        <w:rPr>
          <w:rFonts w:ascii="宋体" w:hAnsi="宋体" w:eastAsia="宋体"/>
          <w:spacing w:val="-2"/>
        </w:rPr>
        <w:t>项目编号：</w:t>
      </w:r>
    </w:p>
    <w:p w14:paraId="35CBBEDD">
      <w:pPr>
        <w:pStyle w:val="18"/>
        <w:ind w:left="0"/>
        <w:rPr>
          <w:b/>
          <w:sz w:val="28"/>
        </w:rPr>
      </w:pPr>
    </w:p>
    <w:p w14:paraId="273F1130">
      <w:pPr>
        <w:pStyle w:val="18"/>
        <w:spacing w:before="40"/>
        <w:ind w:left="0"/>
        <w:rPr>
          <w:b/>
          <w:sz w:val="28"/>
        </w:rPr>
      </w:pPr>
    </w:p>
    <w:p w14:paraId="35565CFC">
      <w:pPr>
        <w:ind w:right="86"/>
        <w:jc w:val="center"/>
        <w:rPr>
          <w:b/>
          <w:sz w:val="56"/>
        </w:rPr>
      </w:pPr>
      <w:r>
        <w:rPr>
          <w:b/>
          <w:spacing w:val="-6"/>
          <w:sz w:val="56"/>
        </w:rPr>
        <w:t>响应文件</w:t>
      </w:r>
    </w:p>
    <w:p w14:paraId="0254A96C">
      <w:pPr>
        <w:pStyle w:val="18"/>
        <w:ind w:left="0"/>
        <w:rPr>
          <w:b/>
          <w:sz w:val="56"/>
        </w:rPr>
      </w:pPr>
    </w:p>
    <w:p w14:paraId="12EBB029">
      <w:pPr>
        <w:pStyle w:val="18"/>
        <w:ind w:left="0"/>
        <w:rPr>
          <w:b/>
          <w:sz w:val="56"/>
        </w:rPr>
      </w:pPr>
    </w:p>
    <w:p w14:paraId="76459201">
      <w:pPr>
        <w:pStyle w:val="18"/>
        <w:spacing w:before="557"/>
        <w:ind w:left="0"/>
        <w:rPr>
          <w:b/>
          <w:sz w:val="56"/>
        </w:rPr>
      </w:pPr>
    </w:p>
    <w:p w14:paraId="3E7A1F1F">
      <w:pPr>
        <w:pStyle w:val="18"/>
        <w:spacing w:before="557"/>
        <w:ind w:left="0"/>
        <w:rPr>
          <w:b/>
          <w:sz w:val="56"/>
        </w:rPr>
      </w:pPr>
    </w:p>
    <w:p w14:paraId="1B6BF524">
      <w:pPr>
        <w:pStyle w:val="18"/>
        <w:spacing w:before="557"/>
        <w:ind w:left="0"/>
        <w:rPr>
          <w:b/>
          <w:sz w:val="56"/>
        </w:rPr>
      </w:pPr>
    </w:p>
    <w:p w14:paraId="606119D6">
      <w:pPr>
        <w:pStyle w:val="18"/>
        <w:spacing w:before="557"/>
        <w:ind w:left="0"/>
        <w:rPr>
          <w:b/>
          <w:sz w:val="56"/>
        </w:rPr>
      </w:pPr>
    </w:p>
    <w:p w14:paraId="5E502509">
      <w:pPr>
        <w:pStyle w:val="7"/>
        <w:spacing w:line="240" w:lineRule="auto"/>
        <w:ind w:left="1951"/>
        <w:rPr>
          <w:rFonts w:ascii="宋体" w:hAnsi="宋体" w:eastAsia="宋体"/>
        </w:rPr>
      </w:pPr>
      <w:r>
        <w:rPr>
          <w:rFonts w:ascii="宋体" w:hAnsi="宋体" w:eastAsia="宋体"/>
        </w:rPr>
        <w:t>供应商：（盖单位公章</w:t>
      </w:r>
      <w:r>
        <w:rPr>
          <w:rFonts w:ascii="宋体" w:hAnsi="宋体" w:eastAsia="宋体"/>
          <w:spacing w:val="-10"/>
        </w:rPr>
        <w:t>）</w:t>
      </w:r>
    </w:p>
    <w:p w14:paraId="451A8B4B">
      <w:pPr>
        <w:pStyle w:val="7"/>
        <w:spacing w:before="25" w:line="254" w:lineRule="auto"/>
        <w:ind w:left="1951" w:right="3252"/>
        <w:rPr>
          <w:rFonts w:ascii="宋体" w:hAnsi="宋体" w:eastAsia="宋体"/>
        </w:rPr>
      </w:pPr>
      <w:r>
        <w:rPr>
          <w:rFonts w:ascii="宋体" w:hAnsi="宋体" w:eastAsia="宋体"/>
          <w:spacing w:val="-2"/>
        </w:rPr>
        <w:t>法定代表人或授权代表人：（签字或盖章）</w:t>
      </w:r>
      <w:r>
        <w:rPr>
          <w:rFonts w:ascii="宋体" w:hAnsi="宋体" w:eastAsia="宋体"/>
          <w:spacing w:val="12"/>
        </w:rPr>
        <w:t>日期： 年 月 日</w:t>
      </w:r>
    </w:p>
    <w:p w14:paraId="121F8C9A">
      <w:pPr>
        <w:pStyle w:val="7"/>
        <w:spacing w:line="254" w:lineRule="auto"/>
        <w:rPr>
          <w:rFonts w:ascii="宋体" w:hAnsi="宋体" w:eastAsia="宋体"/>
        </w:rPr>
        <w:sectPr>
          <w:pgSz w:w="11920" w:h="16850"/>
          <w:pgMar w:top="1440" w:right="992" w:bottom="1100" w:left="1133" w:header="0" w:footer="913" w:gutter="0"/>
          <w:cols w:space="720" w:num="1"/>
        </w:sectPr>
      </w:pPr>
    </w:p>
    <w:p w14:paraId="4662AA8D">
      <w:pPr>
        <w:pStyle w:val="6"/>
        <w:tabs>
          <w:tab w:val="left" w:pos="722"/>
        </w:tabs>
      </w:pPr>
      <w:r>
        <w:rPr>
          <w:spacing w:val="-10"/>
        </w:rPr>
        <w:t>目</w:t>
      </w:r>
      <w:r>
        <w:tab/>
      </w:r>
      <w:r>
        <w:rPr>
          <w:spacing w:val="-10"/>
        </w:rPr>
        <w:t>录</w:t>
      </w:r>
    </w:p>
    <w:p w14:paraId="02FF62FD">
      <w:pPr>
        <w:pStyle w:val="18"/>
        <w:spacing w:before="189" w:line="364" w:lineRule="auto"/>
        <w:ind w:left="703" w:right="6363" w:hanging="17"/>
      </w:pPr>
      <w:r>
        <w:rPr>
          <w:spacing w:val="-2"/>
        </w:rPr>
        <w:t>一、磋商响应函及报价一览表二、已标价工程量清单</w:t>
      </w:r>
    </w:p>
    <w:p w14:paraId="5F47D655">
      <w:pPr>
        <w:pStyle w:val="18"/>
        <w:spacing w:before="1" w:line="364" w:lineRule="auto"/>
        <w:ind w:left="703" w:right="3000" w:hanging="17"/>
      </w:pPr>
      <w:r>
        <w:rPr>
          <w:spacing w:val="-2"/>
        </w:rPr>
        <w:t>三、法定代表人身份证明或附有法定代表人身份证明的授权委托书四、竞争性磋商承诺函</w:t>
      </w:r>
    </w:p>
    <w:p w14:paraId="79935957">
      <w:pPr>
        <w:pStyle w:val="18"/>
        <w:spacing w:line="364" w:lineRule="auto"/>
        <w:ind w:left="686" w:right="6783"/>
      </w:pPr>
      <w:r>
        <w:rPr>
          <w:spacing w:val="-2"/>
        </w:rPr>
        <w:t>五、供应商资格证明文件六、施工组织设计</w:t>
      </w:r>
    </w:p>
    <w:p w14:paraId="6957D15F">
      <w:pPr>
        <w:pStyle w:val="18"/>
        <w:spacing w:line="367" w:lineRule="auto"/>
        <w:ind w:left="686" w:right="7414"/>
      </w:pPr>
      <w:r>
        <w:rPr>
          <w:spacing w:val="-2"/>
        </w:rPr>
        <w:t>七、项目管理机构八、企业实力</w:t>
      </w:r>
    </w:p>
    <w:p w14:paraId="211B2069">
      <w:pPr>
        <w:pStyle w:val="18"/>
        <w:spacing w:line="364" w:lineRule="auto"/>
        <w:ind w:left="686" w:right="7834"/>
      </w:pPr>
      <w:r>
        <w:rPr>
          <w:spacing w:val="-2"/>
        </w:rPr>
        <w:t>九、服务承诺</w:t>
      </w:r>
      <w:r>
        <w:rPr>
          <w:spacing w:val="-4"/>
        </w:rPr>
        <w:t>十、其他材料</w:t>
      </w:r>
    </w:p>
    <w:p w14:paraId="42E7C6E9">
      <w:pPr>
        <w:pStyle w:val="18"/>
        <w:spacing w:line="364" w:lineRule="auto"/>
        <w:sectPr>
          <w:pgSz w:w="11920" w:h="16850"/>
          <w:pgMar w:top="1420" w:right="992" w:bottom="1100" w:left="1133" w:header="0" w:footer="913" w:gutter="0"/>
          <w:cols w:space="720" w:num="1"/>
        </w:sectPr>
      </w:pPr>
    </w:p>
    <w:p w14:paraId="25D1F119">
      <w:pPr>
        <w:pStyle w:val="5"/>
        <w:rPr>
          <w:rFonts w:ascii="宋体" w:hAnsi="宋体" w:eastAsia="宋体"/>
        </w:rPr>
      </w:pPr>
      <w:bookmarkStart w:id="544" w:name="一、磋商响应函及报价一览表"/>
      <w:bookmarkEnd w:id="544"/>
      <w:r>
        <w:rPr>
          <w:rFonts w:ascii="宋体" w:hAnsi="宋体" w:eastAsia="宋体"/>
          <w:spacing w:val="-1"/>
        </w:rPr>
        <w:t>一、磋商响应函及报价一览表</w:t>
      </w:r>
    </w:p>
    <w:p w14:paraId="534C9A56">
      <w:pPr>
        <w:pStyle w:val="7"/>
        <w:spacing w:before="45" w:line="240" w:lineRule="auto"/>
        <w:ind w:right="80"/>
        <w:jc w:val="center"/>
        <w:rPr>
          <w:rFonts w:ascii="宋体" w:hAnsi="宋体" w:eastAsia="宋体"/>
        </w:rPr>
      </w:pPr>
      <w:bookmarkStart w:id="545" w:name="（一）磋商响应函"/>
      <w:bookmarkEnd w:id="545"/>
      <w:r>
        <w:rPr>
          <w:rFonts w:ascii="宋体" w:hAnsi="宋体" w:eastAsia="宋体"/>
        </w:rPr>
        <w:t>（一）</w:t>
      </w:r>
      <w:r>
        <w:rPr>
          <w:rFonts w:ascii="宋体" w:hAnsi="宋体" w:eastAsia="宋体"/>
          <w:spacing w:val="-2"/>
        </w:rPr>
        <w:t>磋商响应函</w:t>
      </w:r>
    </w:p>
    <w:p w14:paraId="75EB9BB7">
      <w:pPr>
        <w:pStyle w:val="10"/>
        <w:spacing w:before="38"/>
        <w:ind w:left="0" w:right="7316" w:firstLine="0"/>
        <w:jc w:val="center"/>
        <w:rPr>
          <w:rFonts w:ascii="宋体" w:hAnsi="宋体" w:eastAsia="宋体"/>
          <w:spacing w:val="-10"/>
          <w:u w:val="single"/>
        </w:rPr>
      </w:pPr>
      <w:r>
        <w:rPr>
          <w:rFonts w:ascii="宋体" w:hAnsi="宋体" w:eastAsia="宋体"/>
          <w:spacing w:val="-2"/>
        </w:rPr>
        <w:t>致：</w:t>
      </w:r>
      <w:r>
        <w:rPr>
          <w:rFonts w:ascii="宋体" w:hAnsi="宋体" w:eastAsia="宋体"/>
          <w:spacing w:val="-2"/>
          <w:u w:val="single"/>
        </w:rPr>
        <w:t>（采购人名称</w:t>
      </w:r>
      <w:r>
        <w:rPr>
          <w:rFonts w:ascii="宋体" w:hAnsi="宋体" w:eastAsia="宋体"/>
          <w:spacing w:val="-10"/>
          <w:u w:val="single"/>
        </w:rPr>
        <w:t>）</w:t>
      </w:r>
    </w:p>
    <w:p w14:paraId="26B9C12F">
      <w:pPr>
        <w:pStyle w:val="10"/>
        <w:spacing w:before="38"/>
        <w:ind w:left="0" w:right="7316" w:firstLine="0"/>
        <w:jc w:val="center"/>
        <w:rPr>
          <w:rFonts w:ascii="宋体" w:hAnsi="宋体" w:eastAsia="宋体"/>
        </w:rPr>
      </w:pPr>
    </w:p>
    <w:p w14:paraId="7658FB42">
      <w:pPr>
        <w:spacing w:line="360" w:lineRule="auto"/>
        <w:ind w:firstLine="440" w:firstLineChars="200"/>
      </w:pPr>
      <w:r>
        <w:t>我方已仔细研究了</w:t>
      </w:r>
      <w:r>
        <w:rPr>
          <w:u w:val="single"/>
        </w:rPr>
        <w:t xml:space="preserve">（项目名称） </w:t>
      </w:r>
      <w:r>
        <w:t>竞争性磋商文件的全部内容，决定参加贵单位组织的磋商采购。我方授权</w:t>
      </w:r>
      <w:r>
        <w:rPr>
          <w:u w:val="single"/>
        </w:rPr>
        <w:t>(姓名和职务)</w:t>
      </w:r>
      <w:r>
        <w:t>代表我方</w:t>
      </w:r>
      <w:r>
        <w:rPr>
          <w:u w:val="single"/>
        </w:rPr>
        <w:t>（供应商的名称）</w:t>
      </w:r>
      <w:r>
        <w:t>全权处理本项目磋商的有关事宜。</w:t>
      </w:r>
    </w:p>
    <w:p w14:paraId="2DA789DA">
      <w:pPr>
        <w:spacing w:line="360" w:lineRule="auto"/>
        <w:ind w:firstLine="440" w:firstLineChars="200"/>
      </w:pPr>
      <w:r>
        <w:t>我方愿意按照竞争性磋商文件规定的各项要求，向采购人提供所需的服务，首次磋商总报价为人民币大写：</w:t>
      </w:r>
      <w:r>
        <w:rPr>
          <w:u w:val="single"/>
        </w:rPr>
        <w:tab/>
      </w:r>
      <w:r>
        <w:rPr>
          <w:u w:val="single"/>
        </w:rPr>
        <w:t xml:space="preserve">    </w:t>
      </w:r>
      <w:r>
        <w:t>（小写：</w:t>
      </w:r>
      <w:r>
        <w:rPr>
          <w:rFonts w:hint="eastAsia"/>
          <w:u w:val="single"/>
        </w:rPr>
        <w:t xml:space="preserve"> </w:t>
      </w:r>
      <w:r>
        <w:rPr>
          <w:u w:val="single"/>
        </w:rPr>
        <w:t xml:space="preserve">    </w:t>
      </w:r>
      <w:r>
        <w:t>）；质量标准：</w:t>
      </w:r>
      <w:r>
        <w:rPr>
          <w:u w:val="single"/>
        </w:rPr>
        <w:t xml:space="preserve">    </w:t>
      </w:r>
      <w:r>
        <w:t>；工期：</w:t>
      </w:r>
      <w:r>
        <w:rPr>
          <w:u w:val="single"/>
        </w:rPr>
        <w:tab/>
      </w:r>
      <w:r>
        <w:rPr>
          <w:rFonts w:hint="eastAsia"/>
          <w:u w:val="single"/>
        </w:rPr>
        <w:t xml:space="preserve"> </w:t>
      </w:r>
      <w:r>
        <w:rPr>
          <w:u w:val="single"/>
        </w:rPr>
        <w:t xml:space="preserve">    </w:t>
      </w:r>
      <w:r>
        <w:t>日历天；</w:t>
      </w:r>
    </w:p>
    <w:p w14:paraId="29EF1975">
      <w:pPr>
        <w:spacing w:line="360" w:lineRule="auto"/>
        <w:ind w:firstLine="440" w:firstLineChars="200"/>
      </w:pPr>
      <w:r>
        <w:rPr>
          <w:rFonts w:hint="eastAsia"/>
        </w:rPr>
        <w:t>1</w:t>
      </w:r>
      <w:r>
        <w:t>.一旦我方成交，我方将严格履行合同规定的责任和义务，保证按时完成项目的工作内容。</w:t>
      </w:r>
    </w:p>
    <w:p w14:paraId="4D4906AB">
      <w:pPr>
        <w:spacing w:line="360" w:lineRule="auto"/>
        <w:ind w:firstLine="440" w:firstLineChars="200"/>
      </w:pPr>
      <w:r>
        <w:rPr>
          <w:rFonts w:hint="eastAsia"/>
        </w:rPr>
        <w:t>2</w:t>
      </w:r>
      <w:r>
        <w:t>.磋商有效期为60日历天（从首次响应文件递交截止时间起开始计算）。</w:t>
      </w:r>
    </w:p>
    <w:p w14:paraId="6E0B32D6">
      <w:pPr>
        <w:spacing w:line="360" w:lineRule="auto"/>
        <w:ind w:firstLine="440" w:firstLineChars="200"/>
      </w:pPr>
      <w:r>
        <w:rPr>
          <w:rFonts w:hint="eastAsia"/>
        </w:rPr>
        <w:t>3</w:t>
      </w:r>
      <w:r>
        <w:t>.我方愿意提供贵单位可能另外要求的、与磋商有关的文件资料，并保证我方已提供和将要提供的文件是真实的、准确的。按照竞争性磋商文件的规定缴纳代理服务费。</w:t>
      </w:r>
    </w:p>
    <w:p w14:paraId="19CCB105">
      <w:pPr>
        <w:spacing w:line="360" w:lineRule="auto"/>
        <w:ind w:firstLine="440" w:firstLineChars="200"/>
      </w:pPr>
      <w:r>
        <w:rPr>
          <w:rFonts w:hint="eastAsia"/>
        </w:rPr>
        <w:t>4</w:t>
      </w:r>
      <w:r>
        <w:t>.在质量、性能和服务不相等情况下，我方完全理解并认可贵单位不一定将合同授予最低报价的供应商。</w:t>
      </w:r>
    </w:p>
    <w:p w14:paraId="0817F3BB">
      <w:pPr>
        <w:pStyle w:val="18"/>
        <w:spacing w:before="137"/>
        <w:ind w:left="0"/>
      </w:pPr>
    </w:p>
    <w:p w14:paraId="742493A0">
      <w:pPr>
        <w:pStyle w:val="18"/>
        <w:spacing w:line="364" w:lineRule="auto"/>
        <w:ind w:left="703" w:right="14"/>
        <w:jc w:val="both"/>
        <w:rPr>
          <w:spacing w:val="-4"/>
        </w:rPr>
      </w:pPr>
      <w:r>
        <w:rPr>
          <w:spacing w:val="-4"/>
        </w:rPr>
        <w:t>地址：</w:t>
      </w:r>
      <w:r>
        <w:rPr>
          <w:rFonts w:hint="eastAsia"/>
          <w:spacing w:val="-4"/>
          <w:u w:val="single"/>
        </w:rPr>
        <w:t xml:space="preserve"> </w:t>
      </w:r>
      <w:r>
        <w:rPr>
          <w:spacing w:val="-4"/>
          <w:u w:val="single"/>
        </w:rPr>
        <w:t xml:space="preserve">               </w:t>
      </w:r>
      <w:r>
        <w:rPr>
          <w:rFonts w:hint="eastAsia"/>
          <w:spacing w:val="-4"/>
        </w:rPr>
        <w:t xml:space="preserve"> </w:t>
      </w:r>
    </w:p>
    <w:p w14:paraId="3DEF275B">
      <w:pPr>
        <w:pStyle w:val="18"/>
        <w:spacing w:line="364" w:lineRule="auto"/>
        <w:ind w:left="703" w:right="14"/>
        <w:jc w:val="both"/>
        <w:rPr>
          <w:spacing w:val="-4"/>
          <w:u w:val="single"/>
        </w:rPr>
      </w:pPr>
      <w:r>
        <w:rPr>
          <w:spacing w:val="-4"/>
        </w:rPr>
        <w:t>电话：</w:t>
      </w:r>
      <w:r>
        <w:rPr>
          <w:rFonts w:hint="eastAsia"/>
          <w:spacing w:val="-4"/>
          <w:u w:val="single"/>
        </w:rPr>
        <w:t xml:space="preserve"> </w:t>
      </w:r>
      <w:r>
        <w:rPr>
          <w:spacing w:val="-4"/>
          <w:u w:val="single"/>
        </w:rPr>
        <w:t xml:space="preserve">               </w:t>
      </w:r>
    </w:p>
    <w:p w14:paraId="0F569722">
      <w:pPr>
        <w:pStyle w:val="18"/>
        <w:spacing w:line="364" w:lineRule="auto"/>
        <w:ind w:left="703" w:right="14"/>
        <w:jc w:val="both"/>
        <w:rPr>
          <w:u w:val="single"/>
        </w:rPr>
      </w:pPr>
      <w:r>
        <w:rPr>
          <w:spacing w:val="-4"/>
        </w:rPr>
        <w:t>邮箱：</w:t>
      </w:r>
      <w:r>
        <w:rPr>
          <w:rFonts w:hint="eastAsia"/>
          <w:spacing w:val="-4"/>
          <w:u w:val="single"/>
        </w:rPr>
        <w:t xml:space="preserve"> </w:t>
      </w:r>
      <w:r>
        <w:rPr>
          <w:spacing w:val="-4"/>
          <w:u w:val="single"/>
        </w:rPr>
        <w:t xml:space="preserve">               </w:t>
      </w:r>
    </w:p>
    <w:p w14:paraId="0E00420D">
      <w:pPr>
        <w:pStyle w:val="18"/>
        <w:spacing w:before="139"/>
        <w:ind w:left="0"/>
      </w:pPr>
    </w:p>
    <w:p w14:paraId="43121735">
      <w:pPr>
        <w:pStyle w:val="18"/>
        <w:ind w:left="703"/>
      </w:pPr>
      <w:r>
        <w:rPr>
          <w:spacing w:val="-2"/>
        </w:rPr>
        <w:t>供应商：（盖单位公章</w:t>
      </w:r>
      <w:r>
        <w:rPr>
          <w:spacing w:val="-10"/>
        </w:rPr>
        <w:t>）</w:t>
      </w:r>
    </w:p>
    <w:p w14:paraId="7B29A052">
      <w:pPr>
        <w:pStyle w:val="18"/>
        <w:spacing w:before="139" w:line="364" w:lineRule="auto"/>
        <w:ind w:left="703" w:right="4875"/>
      </w:pPr>
      <w:r>
        <w:rPr>
          <w:spacing w:val="-2"/>
        </w:rPr>
        <w:t>法定代表人或其委托代理人：（签字或盖章）日期：年月日</w:t>
      </w:r>
    </w:p>
    <w:p w14:paraId="523DF47F">
      <w:pPr>
        <w:pStyle w:val="18"/>
        <w:spacing w:line="364" w:lineRule="auto"/>
        <w:sectPr>
          <w:pgSz w:w="11920" w:h="16850"/>
          <w:pgMar w:top="1420" w:right="992" w:bottom="1100" w:left="1133" w:header="0" w:footer="913" w:gutter="0"/>
          <w:cols w:space="720" w:num="1"/>
        </w:sectPr>
      </w:pPr>
    </w:p>
    <w:p w14:paraId="418B89E2">
      <w:pPr>
        <w:pStyle w:val="7"/>
        <w:ind w:right="77"/>
        <w:jc w:val="center"/>
        <w:rPr>
          <w:rFonts w:ascii="宋体" w:hAnsi="宋体" w:eastAsia="宋体"/>
        </w:rPr>
      </w:pPr>
      <w:bookmarkStart w:id="546" w:name="（二）首次报价一览表"/>
      <w:bookmarkEnd w:id="546"/>
      <w:r>
        <w:rPr>
          <w:rFonts w:ascii="宋体" w:hAnsi="宋体" w:eastAsia="宋体"/>
        </w:rPr>
        <w:t>（二）</w:t>
      </w:r>
      <w:r>
        <w:rPr>
          <w:rFonts w:ascii="宋体" w:hAnsi="宋体" w:eastAsia="宋体"/>
          <w:spacing w:val="-2"/>
        </w:rPr>
        <w:t>首次报价一览表</w:t>
      </w:r>
    </w:p>
    <w:p w14:paraId="48C9CB8E">
      <w:pPr>
        <w:pStyle w:val="18"/>
        <w:spacing w:before="340" w:after="1"/>
        <w:ind w:left="0"/>
        <w:rPr>
          <w:b/>
          <w:sz w:val="20"/>
        </w:rPr>
      </w:pPr>
    </w:p>
    <w:tbl>
      <w:tblPr>
        <w:tblStyle w:val="46"/>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305"/>
        <w:gridCol w:w="1568"/>
        <w:gridCol w:w="2070"/>
        <w:gridCol w:w="3131"/>
      </w:tblGrid>
      <w:tr w14:paraId="7969B3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8" w:hRule="atLeast"/>
          <w:jc w:val="center"/>
        </w:trPr>
        <w:tc>
          <w:tcPr>
            <w:tcW w:w="2305" w:type="dxa"/>
            <w:vAlign w:val="center"/>
          </w:tcPr>
          <w:p w14:paraId="1FCBEB74">
            <w:pPr>
              <w:pStyle w:val="76"/>
              <w:spacing w:before="137"/>
              <w:ind w:left="20" w:right="5"/>
              <w:jc w:val="center"/>
              <w:rPr>
                <w:sz w:val="21"/>
              </w:rPr>
            </w:pPr>
            <w:r>
              <w:rPr>
                <w:spacing w:val="-4"/>
                <w:sz w:val="21"/>
              </w:rPr>
              <w:t>项目名称</w:t>
            </w:r>
          </w:p>
        </w:tc>
        <w:tc>
          <w:tcPr>
            <w:tcW w:w="6769" w:type="dxa"/>
            <w:gridSpan w:val="3"/>
          </w:tcPr>
          <w:p w14:paraId="2F498258">
            <w:pPr>
              <w:pStyle w:val="76"/>
              <w:rPr>
                <w:sz w:val="20"/>
              </w:rPr>
            </w:pPr>
          </w:p>
        </w:tc>
      </w:tr>
      <w:tr w14:paraId="432077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1" w:hRule="atLeast"/>
          <w:jc w:val="center"/>
        </w:trPr>
        <w:tc>
          <w:tcPr>
            <w:tcW w:w="2305" w:type="dxa"/>
            <w:vAlign w:val="center"/>
          </w:tcPr>
          <w:p w14:paraId="081BD7E0">
            <w:pPr>
              <w:pStyle w:val="76"/>
              <w:spacing w:before="137"/>
              <w:ind w:left="20"/>
              <w:jc w:val="center"/>
              <w:rPr>
                <w:sz w:val="21"/>
              </w:rPr>
            </w:pPr>
            <w:r>
              <w:rPr>
                <w:spacing w:val="-4"/>
                <w:sz w:val="21"/>
              </w:rPr>
              <w:t>响应内容</w:t>
            </w:r>
          </w:p>
        </w:tc>
        <w:tc>
          <w:tcPr>
            <w:tcW w:w="6769" w:type="dxa"/>
            <w:gridSpan w:val="3"/>
          </w:tcPr>
          <w:p w14:paraId="16AED7F3">
            <w:pPr>
              <w:pStyle w:val="76"/>
              <w:spacing w:before="137"/>
              <w:ind w:left="1912"/>
              <w:rPr>
                <w:sz w:val="21"/>
              </w:rPr>
            </w:pPr>
            <w:r>
              <w:rPr>
                <w:rFonts w:hint="eastAsia"/>
                <w:spacing w:val="-3"/>
                <w:sz w:val="21"/>
              </w:rPr>
              <w:t xml:space="preserve"> </w:t>
            </w:r>
          </w:p>
        </w:tc>
      </w:tr>
      <w:tr w14:paraId="3E579F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8" w:hRule="atLeast"/>
          <w:jc w:val="center"/>
        </w:trPr>
        <w:tc>
          <w:tcPr>
            <w:tcW w:w="2305" w:type="dxa"/>
            <w:vAlign w:val="center"/>
          </w:tcPr>
          <w:p w14:paraId="0E0DACAC">
            <w:pPr>
              <w:pStyle w:val="76"/>
              <w:spacing w:before="137"/>
              <w:ind w:left="20"/>
              <w:jc w:val="center"/>
              <w:rPr>
                <w:sz w:val="21"/>
              </w:rPr>
            </w:pPr>
            <w:r>
              <w:rPr>
                <w:spacing w:val="-4"/>
                <w:sz w:val="21"/>
              </w:rPr>
              <w:t>供应商名称</w:t>
            </w:r>
          </w:p>
        </w:tc>
        <w:tc>
          <w:tcPr>
            <w:tcW w:w="6769" w:type="dxa"/>
            <w:gridSpan w:val="3"/>
          </w:tcPr>
          <w:p w14:paraId="019ECBC5">
            <w:pPr>
              <w:pStyle w:val="76"/>
              <w:rPr>
                <w:sz w:val="20"/>
              </w:rPr>
            </w:pPr>
          </w:p>
        </w:tc>
      </w:tr>
      <w:tr w14:paraId="49C65C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18" w:hRule="atLeast"/>
          <w:jc w:val="center"/>
        </w:trPr>
        <w:tc>
          <w:tcPr>
            <w:tcW w:w="2305" w:type="dxa"/>
            <w:vAlign w:val="center"/>
          </w:tcPr>
          <w:p w14:paraId="0F068197">
            <w:pPr>
              <w:pStyle w:val="76"/>
              <w:spacing w:before="197"/>
              <w:ind w:left="20" w:right="10"/>
              <w:jc w:val="center"/>
              <w:rPr>
                <w:sz w:val="21"/>
              </w:rPr>
            </w:pPr>
            <w:r>
              <w:rPr>
                <w:spacing w:val="-2"/>
              </w:rPr>
              <w:t>首次磋商总</w:t>
            </w:r>
            <w:r>
              <w:rPr>
                <w:spacing w:val="-6"/>
                <w:sz w:val="21"/>
              </w:rPr>
              <w:t>报价</w:t>
            </w:r>
          </w:p>
        </w:tc>
        <w:tc>
          <w:tcPr>
            <w:tcW w:w="6769" w:type="dxa"/>
            <w:gridSpan w:val="3"/>
          </w:tcPr>
          <w:p w14:paraId="0C0ED808">
            <w:pPr>
              <w:pStyle w:val="76"/>
              <w:tabs>
                <w:tab w:val="left" w:pos="2368"/>
              </w:tabs>
              <w:spacing w:before="3"/>
              <w:ind w:left="114"/>
              <w:rPr>
                <w:sz w:val="21"/>
              </w:rPr>
            </w:pPr>
            <w:r>
              <w:rPr>
                <w:sz w:val="21"/>
              </w:rPr>
              <w:t>大写</w:t>
            </w:r>
            <w:r>
              <w:rPr>
                <w:spacing w:val="-10"/>
                <w:sz w:val="21"/>
              </w:rPr>
              <w:t>：</w:t>
            </w:r>
            <w:r>
              <w:rPr>
                <w:sz w:val="21"/>
                <w:u w:val="single"/>
              </w:rPr>
              <w:tab/>
            </w:r>
          </w:p>
          <w:p w14:paraId="315A47B3">
            <w:pPr>
              <w:pStyle w:val="76"/>
              <w:tabs>
                <w:tab w:val="left" w:pos="2392"/>
              </w:tabs>
              <w:spacing w:before="139"/>
              <w:ind w:left="114"/>
              <w:rPr>
                <w:sz w:val="21"/>
              </w:rPr>
            </w:pPr>
            <w:r>
              <w:rPr>
                <w:sz w:val="21"/>
              </w:rPr>
              <w:t>小写</w:t>
            </w:r>
            <w:r>
              <w:rPr>
                <w:spacing w:val="-10"/>
                <w:sz w:val="21"/>
              </w:rPr>
              <w:t>：</w:t>
            </w:r>
            <w:r>
              <w:rPr>
                <w:sz w:val="21"/>
                <w:u w:val="single"/>
              </w:rPr>
              <w:tab/>
            </w:r>
            <w:r>
              <w:rPr>
                <w:spacing w:val="-10"/>
                <w:sz w:val="21"/>
              </w:rPr>
              <w:t>元</w:t>
            </w:r>
          </w:p>
        </w:tc>
      </w:tr>
      <w:tr w14:paraId="00BAFB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1" w:hRule="atLeast"/>
          <w:jc w:val="center"/>
        </w:trPr>
        <w:tc>
          <w:tcPr>
            <w:tcW w:w="2305" w:type="dxa"/>
            <w:vAlign w:val="center"/>
          </w:tcPr>
          <w:p w14:paraId="32767BBF">
            <w:pPr>
              <w:pStyle w:val="76"/>
              <w:spacing w:before="137"/>
              <w:ind w:left="20" w:right="10"/>
              <w:jc w:val="center"/>
              <w:rPr>
                <w:sz w:val="21"/>
              </w:rPr>
            </w:pPr>
            <w:r>
              <w:rPr>
                <w:spacing w:val="-4"/>
                <w:sz w:val="21"/>
              </w:rPr>
              <w:t>项目经理</w:t>
            </w:r>
          </w:p>
        </w:tc>
        <w:tc>
          <w:tcPr>
            <w:tcW w:w="1568" w:type="dxa"/>
            <w:vAlign w:val="center"/>
          </w:tcPr>
          <w:p w14:paraId="18DCCB0E">
            <w:pPr>
              <w:pStyle w:val="76"/>
              <w:spacing w:before="137"/>
              <w:ind w:left="49"/>
              <w:rPr>
                <w:sz w:val="21"/>
              </w:rPr>
            </w:pPr>
            <w:r>
              <w:rPr>
                <w:spacing w:val="-4"/>
                <w:sz w:val="21"/>
              </w:rPr>
              <w:t>姓名：</w:t>
            </w:r>
          </w:p>
        </w:tc>
        <w:tc>
          <w:tcPr>
            <w:tcW w:w="2070" w:type="dxa"/>
            <w:vAlign w:val="center"/>
          </w:tcPr>
          <w:p w14:paraId="03D76263">
            <w:pPr>
              <w:pStyle w:val="76"/>
              <w:spacing w:before="137"/>
              <w:ind w:left="48"/>
              <w:rPr>
                <w:sz w:val="21"/>
              </w:rPr>
            </w:pPr>
            <w:r>
              <w:rPr>
                <w:spacing w:val="-4"/>
                <w:sz w:val="21"/>
              </w:rPr>
              <w:t>级别：</w:t>
            </w:r>
          </w:p>
        </w:tc>
        <w:tc>
          <w:tcPr>
            <w:tcW w:w="3131" w:type="dxa"/>
            <w:vAlign w:val="center"/>
          </w:tcPr>
          <w:p w14:paraId="717D42C5">
            <w:pPr>
              <w:pStyle w:val="76"/>
              <w:spacing w:before="137"/>
              <w:ind w:left="45"/>
              <w:rPr>
                <w:sz w:val="21"/>
              </w:rPr>
            </w:pPr>
            <w:r>
              <w:rPr>
                <w:spacing w:val="-4"/>
                <w:sz w:val="21"/>
              </w:rPr>
              <w:t>注册证号：</w:t>
            </w:r>
          </w:p>
        </w:tc>
      </w:tr>
      <w:tr w14:paraId="1EBC66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8" w:hRule="atLeast"/>
          <w:jc w:val="center"/>
        </w:trPr>
        <w:tc>
          <w:tcPr>
            <w:tcW w:w="2305" w:type="dxa"/>
            <w:vAlign w:val="center"/>
          </w:tcPr>
          <w:p w14:paraId="71FC8513">
            <w:pPr>
              <w:pStyle w:val="76"/>
              <w:spacing w:before="135"/>
              <w:ind w:left="20" w:right="7"/>
              <w:jc w:val="center"/>
              <w:rPr>
                <w:sz w:val="21"/>
              </w:rPr>
            </w:pPr>
            <w:r>
              <w:rPr>
                <w:spacing w:val="-5"/>
                <w:sz w:val="21"/>
              </w:rPr>
              <w:t>工期</w:t>
            </w:r>
          </w:p>
        </w:tc>
        <w:tc>
          <w:tcPr>
            <w:tcW w:w="6769" w:type="dxa"/>
            <w:gridSpan w:val="3"/>
          </w:tcPr>
          <w:p w14:paraId="4F1F2CCF">
            <w:pPr>
              <w:pStyle w:val="76"/>
              <w:rPr>
                <w:sz w:val="20"/>
              </w:rPr>
            </w:pPr>
          </w:p>
        </w:tc>
      </w:tr>
      <w:tr w14:paraId="59C82D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8" w:hRule="atLeast"/>
          <w:jc w:val="center"/>
        </w:trPr>
        <w:tc>
          <w:tcPr>
            <w:tcW w:w="2305" w:type="dxa"/>
            <w:vAlign w:val="center"/>
          </w:tcPr>
          <w:p w14:paraId="1C9162AA">
            <w:pPr>
              <w:pStyle w:val="76"/>
              <w:spacing w:before="135"/>
              <w:ind w:left="20" w:right="10"/>
              <w:jc w:val="center"/>
              <w:rPr>
                <w:sz w:val="21"/>
              </w:rPr>
            </w:pPr>
            <w:r>
              <w:rPr>
                <w:spacing w:val="-4"/>
                <w:sz w:val="21"/>
              </w:rPr>
              <w:t>质量</w:t>
            </w:r>
            <w:r>
              <w:rPr>
                <w:rFonts w:hint="eastAsia"/>
                <w:spacing w:val="-4"/>
                <w:sz w:val="21"/>
              </w:rPr>
              <w:t>标准</w:t>
            </w:r>
          </w:p>
        </w:tc>
        <w:tc>
          <w:tcPr>
            <w:tcW w:w="6769" w:type="dxa"/>
            <w:gridSpan w:val="3"/>
          </w:tcPr>
          <w:p w14:paraId="7D8C2C5B">
            <w:pPr>
              <w:pStyle w:val="76"/>
              <w:rPr>
                <w:sz w:val="20"/>
              </w:rPr>
            </w:pPr>
          </w:p>
        </w:tc>
      </w:tr>
      <w:tr w14:paraId="4A9EA7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18" w:hRule="atLeast"/>
          <w:jc w:val="center"/>
        </w:trPr>
        <w:tc>
          <w:tcPr>
            <w:tcW w:w="2305" w:type="dxa"/>
            <w:vAlign w:val="center"/>
          </w:tcPr>
          <w:p w14:paraId="6FF203B2">
            <w:pPr>
              <w:pStyle w:val="76"/>
              <w:spacing w:before="139"/>
              <w:ind w:left="20" w:right="7"/>
              <w:jc w:val="center"/>
              <w:rPr>
                <w:sz w:val="21"/>
              </w:rPr>
            </w:pPr>
            <w:r>
              <w:rPr>
                <w:spacing w:val="-2"/>
                <w:sz w:val="21"/>
              </w:rPr>
              <w:t>质保期</w:t>
            </w:r>
          </w:p>
        </w:tc>
        <w:tc>
          <w:tcPr>
            <w:tcW w:w="6769" w:type="dxa"/>
            <w:gridSpan w:val="3"/>
          </w:tcPr>
          <w:p w14:paraId="3CB90A97">
            <w:pPr>
              <w:pStyle w:val="76"/>
              <w:rPr>
                <w:sz w:val="20"/>
              </w:rPr>
            </w:pPr>
          </w:p>
        </w:tc>
      </w:tr>
      <w:tr w14:paraId="3FC98F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8" w:hRule="atLeast"/>
          <w:jc w:val="center"/>
        </w:trPr>
        <w:tc>
          <w:tcPr>
            <w:tcW w:w="2305" w:type="dxa"/>
            <w:vAlign w:val="center"/>
          </w:tcPr>
          <w:p w14:paraId="4448C460">
            <w:pPr>
              <w:pStyle w:val="76"/>
              <w:spacing w:before="135"/>
              <w:ind w:left="20" w:right="10"/>
              <w:jc w:val="center"/>
              <w:rPr>
                <w:sz w:val="21"/>
              </w:rPr>
            </w:pPr>
            <w:r>
              <w:rPr>
                <w:spacing w:val="-4"/>
                <w:sz w:val="21"/>
              </w:rPr>
              <w:t>权利义务</w:t>
            </w:r>
          </w:p>
        </w:tc>
        <w:tc>
          <w:tcPr>
            <w:tcW w:w="6769" w:type="dxa"/>
            <w:gridSpan w:val="3"/>
            <w:vAlign w:val="center"/>
          </w:tcPr>
          <w:p w14:paraId="7E8A15D1">
            <w:pPr>
              <w:pStyle w:val="76"/>
              <w:spacing w:before="135"/>
              <w:ind w:left="1703"/>
              <w:rPr>
                <w:sz w:val="21"/>
              </w:rPr>
            </w:pPr>
            <w:r>
              <w:rPr>
                <w:spacing w:val="-3"/>
                <w:sz w:val="21"/>
              </w:rPr>
              <w:t>符合第四章“合同条款及格式”规定</w:t>
            </w:r>
          </w:p>
        </w:tc>
      </w:tr>
      <w:tr w14:paraId="6CF031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1" w:hRule="atLeast"/>
          <w:jc w:val="center"/>
        </w:trPr>
        <w:tc>
          <w:tcPr>
            <w:tcW w:w="2305" w:type="dxa"/>
            <w:vAlign w:val="center"/>
          </w:tcPr>
          <w:p w14:paraId="326F2498">
            <w:pPr>
              <w:pStyle w:val="76"/>
              <w:spacing w:before="138"/>
              <w:ind w:left="20" w:right="7"/>
              <w:jc w:val="center"/>
              <w:rPr>
                <w:sz w:val="21"/>
              </w:rPr>
            </w:pPr>
            <w:r>
              <w:rPr>
                <w:spacing w:val="-4"/>
                <w:sz w:val="21"/>
              </w:rPr>
              <w:t>技术标准和要求</w:t>
            </w:r>
          </w:p>
        </w:tc>
        <w:tc>
          <w:tcPr>
            <w:tcW w:w="6769" w:type="dxa"/>
            <w:gridSpan w:val="3"/>
            <w:vAlign w:val="center"/>
          </w:tcPr>
          <w:p w14:paraId="18BF36F4">
            <w:pPr>
              <w:pStyle w:val="76"/>
              <w:spacing w:before="138"/>
              <w:ind w:left="1703"/>
              <w:rPr>
                <w:sz w:val="21"/>
              </w:rPr>
            </w:pPr>
            <w:r>
              <w:rPr>
                <w:spacing w:val="-3"/>
                <w:sz w:val="21"/>
              </w:rPr>
              <w:t>符合第六章“技术标准和要求”规定</w:t>
            </w:r>
          </w:p>
        </w:tc>
      </w:tr>
      <w:tr w14:paraId="2A36A6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8" w:hRule="atLeast"/>
          <w:jc w:val="center"/>
        </w:trPr>
        <w:tc>
          <w:tcPr>
            <w:tcW w:w="2305" w:type="dxa"/>
            <w:vAlign w:val="center"/>
          </w:tcPr>
          <w:p w14:paraId="747D0805">
            <w:pPr>
              <w:pStyle w:val="76"/>
              <w:spacing w:before="135"/>
              <w:ind w:left="20" w:right="10"/>
              <w:jc w:val="center"/>
              <w:rPr>
                <w:sz w:val="21"/>
              </w:rPr>
            </w:pPr>
            <w:r>
              <w:rPr>
                <w:spacing w:val="-4"/>
                <w:sz w:val="21"/>
              </w:rPr>
              <w:t>磋商有效期</w:t>
            </w:r>
          </w:p>
        </w:tc>
        <w:tc>
          <w:tcPr>
            <w:tcW w:w="6769" w:type="dxa"/>
            <w:gridSpan w:val="3"/>
          </w:tcPr>
          <w:p w14:paraId="6B7BBBBD">
            <w:pPr>
              <w:pStyle w:val="76"/>
              <w:rPr>
                <w:sz w:val="20"/>
              </w:rPr>
            </w:pPr>
          </w:p>
        </w:tc>
      </w:tr>
      <w:tr w14:paraId="027510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1" w:hRule="atLeast"/>
          <w:jc w:val="center"/>
        </w:trPr>
        <w:tc>
          <w:tcPr>
            <w:tcW w:w="2305" w:type="dxa"/>
            <w:vAlign w:val="center"/>
          </w:tcPr>
          <w:p w14:paraId="5EF1326F">
            <w:pPr>
              <w:pStyle w:val="76"/>
              <w:spacing w:before="137"/>
              <w:ind w:left="20" w:right="5"/>
              <w:jc w:val="center"/>
              <w:rPr>
                <w:sz w:val="21"/>
              </w:rPr>
            </w:pPr>
            <w:r>
              <w:rPr>
                <w:spacing w:val="-4"/>
                <w:sz w:val="21"/>
              </w:rPr>
              <w:t>其他声明</w:t>
            </w:r>
          </w:p>
        </w:tc>
        <w:tc>
          <w:tcPr>
            <w:tcW w:w="6769" w:type="dxa"/>
            <w:gridSpan w:val="3"/>
          </w:tcPr>
          <w:p w14:paraId="5A0512C6">
            <w:pPr>
              <w:pStyle w:val="76"/>
              <w:rPr>
                <w:sz w:val="20"/>
              </w:rPr>
            </w:pPr>
          </w:p>
        </w:tc>
      </w:tr>
    </w:tbl>
    <w:p w14:paraId="5086862A">
      <w:pPr>
        <w:pStyle w:val="18"/>
        <w:spacing w:before="29"/>
        <w:ind w:left="0"/>
        <w:rPr>
          <w:b/>
        </w:rPr>
      </w:pPr>
    </w:p>
    <w:p w14:paraId="6647FA55">
      <w:pPr>
        <w:pStyle w:val="18"/>
        <w:ind w:left="1123"/>
      </w:pPr>
      <w:r>
        <w:rPr>
          <w:spacing w:val="-2"/>
        </w:rPr>
        <w:t>供应商：（</w:t>
      </w:r>
      <w:r>
        <w:rPr>
          <w:spacing w:val="-4"/>
        </w:rPr>
        <w:t>盖单位公章)</w:t>
      </w:r>
    </w:p>
    <w:p w14:paraId="3275FADA">
      <w:pPr>
        <w:pStyle w:val="18"/>
        <w:spacing w:before="140" w:line="364" w:lineRule="auto"/>
        <w:ind w:left="1123" w:right="4456"/>
      </w:pPr>
      <w:r>
        <w:rPr>
          <w:spacing w:val="-2"/>
        </w:rPr>
        <w:t>法定代表人或其委托代理人：（签字或盖章）日期：年月日</w:t>
      </w:r>
    </w:p>
    <w:p w14:paraId="6BD3DB7E">
      <w:pPr>
        <w:pStyle w:val="18"/>
        <w:spacing w:line="364" w:lineRule="auto"/>
        <w:sectPr>
          <w:pgSz w:w="11920" w:h="16850"/>
          <w:pgMar w:top="1420" w:right="992" w:bottom="1100" w:left="1133" w:header="0" w:footer="913" w:gutter="0"/>
          <w:cols w:space="720" w:num="1"/>
        </w:sectPr>
      </w:pPr>
    </w:p>
    <w:p w14:paraId="4B3604CE">
      <w:pPr>
        <w:pStyle w:val="5"/>
        <w:rPr>
          <w:rFonts w:ascii="宋体" w:hAnsi="宋体" w:eastAsia="宋体"/>
        </w:rPr>
      </w:pPr>
      <w:bookmarkStart w:id="547" w:name="二、已标价工程量清单"/>
      <w:bookmarkEnd w:id="547"/>
      <w:r>
        <w:rPr>
          <w:rFonts w:ascii="宋体" w:hAnsi="宋体" w:eastAsia="宋体"/>
          <w:spacing w:val="-1"/>
        </w:rPr>
        <w:t>二、已标价工程量清单</w:t>
      </w:r>
    </w:p>
    <w:p w14:paraId="5DBB25E8">
      <w:pPr>
        <w:pStyle w:val="18"/>
        <w:spacing w:before="37"/>
        <w:ind w:left="0"/>
        <w:rPr>
          <w:b/>
          <w:sz w:val="28"/>
        </w:rPr>
      </w:pPr>
    </w:p>
    <w:p w14:paraId="62823B80">
      <w:pPr>
        <w:pStyle w:val="18"/>
        <w:spacing w:before="1" w:line="364" w:lineRule="auto"/>
        <w:ind w:left="326" w:right="156" w:firstLine="420"/>
      </w:pPr>
      <w:r>
        <w:rPr>
          <w:spacing w:val="-2"/>
        </w:rPr>
        <w:t>工程量清单封面的签字、盖章按如下要求：封面须加盖供应商公章、法定代表人或其授权人的</w:t>
      </w:r>
      <w:r>
        <w:rPr>
          <w:spacing w:val="80"/>
          <w:w w:val="150"/>
        </w:rPr>
        <w:t xml:space="preserve"> </w:t>
      </w:r>
      <w:r>
        <w:rPr>
          <w:spacing w:val="-2"/>
        </w:rPr>
        <w:t>印章或签字、注册在本单位的造价人员执业资格专用章及签字；如本单位无造价人员，应委托相应中介机构编制工程量清单报价并加盖其注册造价人员执业资格专用章和签字、造价委托协议和公章。授权人、造价员或委托的造价中介机构等若未办理CA锁，则需上传手动签字的扫描件；</w:t>
      </w:r>
    </w:p>
    <w:p w14:paraId="284AC8BE">
      <w:pPr>
        <w:pStyle w:val="18"/>
        <w:spacing w:line="367" w:lineRule="auto"/>
        <w:sectPr>
          <w:pgSz w:w="11920" w:h="16850"/>
          <w:pgMar w:top="1420" w:right="992" w:bottom="1100" w:left="1133" w:header="0" w:footer="913" w:gutter="0"/>
          <w:cols w:space="720" w:num="1"/>
        </w:sectPr>
      </w:pPr>
    </w:p>
    <w:p w14:paraId="75CA4274">
      <w:pPr>
        <w:pStyle w:val="5"/>
        <w:ind w:left="785" w:right="0"/>
        <w:jc w:val="left"/>
        <w:rPr>
          <w:rFonts w:ascii="宋体" w:hAnsi="宋体" w:eastAsia="宋体"/>
        </w:rPr>
      </w:pPr>
      <w:bookmarkStart w:id="548" w:name="三、法定代表人身份证明或附有法定代表人身份证明的授权委托书"/>
      <w:bookmarkEnd w:id="548"/>
      <w:r>
        <w:rPr>
          <w:rFonts w:ascii="宋体" w:hAnsi="宋体" w:eastAsia="宋体"/>
          <w:spacing w:val="-1"/>
        </w:rPr>
        <w:t>三、法定代表人身份证明或附有法定代表人身份证明的授权委托书</w:t>
      </w:r>
    </w:p>
    <w:p w14:paraId="0517EE2F">
      <w:pPr>
        <w:pStyle w:val="7"/>
        <w:spacing w:before="513" w:line="240" w:lineRule="auto"/>
        <w:ind w:right="2036"/>
        <w:jc w:val="right"/>
        <w:rPr>
          <w:rFonts w:ascii="宋体" w:hAnsi="宋体" w:eastAsia="宋体"/>
        </w:rPr>
      </w:pPr>
      <w:bookmarkStart w:id="549" w:name="（一）法定代表人（或非法人组织负责人）身份证明书"/>
      <w:bookmarkEnd w:id="549"/>
      <w:r>
        <w:rPr>
          <w:rFonts w:ascii="宋体" w:hAnsi="宋体" w:eastAsia="宋体"/>
        </w:rPr>
        <w:t>（一）法定代表人（或非法人组织负责人）</w:t>
      </w:r>
      <w:r>
        <w:rPr>
          <w:rFonts w:ascii="宋体" w:hAnsi="宋体" w:eastAsia="宋体"/>
          <w:spacing w:val="-2"/>
        </w:rPr>
        <w:t>身份证明书</w:t>
      </w:r>
    </w:p>
    <w:p w14:paraId="283600FD">
      <w:pPr>
        <w:pStyle w:val="18"/>
        <w:tabs>
          <w:tab w:val="left" w:pos="2866"/>
          <w:tab w:val="left" w:pos="3900"/>
          <w:tab w:val="left" w:pos="5235"/>
          <w:tab w:val="left" w:pos="5405"/>
          <w:tab w:val="left" w:pos="5511"/>
        </w:tabs>
        <w:spacing w:before="105" w:line="364" w:lineRule="auto"/>
        <w:ind w:left="1106" w:right="4272"/>
      </w:pPr>
      <w:r>
        <w:rPr>
          <w:spacing w:val="-2"/>
        </w:rPr>
        <w:t>供应商名称：</w:t>
      </w:r>
      <w:r>
        <w:rPr>
          <w:u w:val="single"/>
        </w:rPr>
        <w:tab/>
      </w:r>
      <w:r>
        <w:rPr>
          <w:u w:val="single"/>
        </w:rPr>
        <w:tab/>
      </w:r>
      <w:r>
        <w:rPr>
          <w:u w:val="single"/>
        </w:rPr>
        <w:tab/>
      </w:r>
      <w:r>
        <w:rPr>
          <w:u w:val="single"/>
        </w:rPr>
        <w:tab/>
      </w:r>
      <w:r>
        <w:t xml:space="preserve"> 单位性质： </w:t>
      </w:r>
      <w:r>
        <w:rPr>
          <w:u w:val="single"/>
        </w:rPr>
        <w:tab/>
      </w:r>
      <w:r>
        <w:rPr>
          <w:u w:val="single"/>
        </w:rPr>
        <w:tab/>
      </w:r>
      <w:r>
        <w:rPr>
          <w:u w:val="single"/>
        </w:rPr>
        <w:tab/>
      </w:r>
      <w:r>
        <w:rPr>
          <w:u w:val="single"/>
        </w:rPr>
        <w:tab/>
      </w:r>
      <w:r>
        <w:rPr>
          <w:u w:val="single"/>
        </w:rPr>
        <w:tab/>
      </w:r>
      <w:r>
        <w:t xml:space="preserve"> 地址： </w:t>
      </w:r>
      <w:r>
        <w:rPr>
          <w:u w:val="single"/>
        </w:rPr>
        <w:tab/>
      </w:r>
      <w:r>
        <w:rPr>
          <w:u w:val="single"/>
        </w:rPr>
        <w:tab/>
      </w:r>
      <w:r>
        <w:rPr>
          <w:u w:val="single"/>
        </w:rPr>
        <w:tab/>
      </w:r>
      <w:r>
        <w:rPr>
          <w:u w:val="single"/>
        </w:rPr>
        <w:tab/>
      </w:r>
      <w:r>
        <w:rPr>
          <w:u w:val="single"/>
        </w:rPr>
        <w:tab/>
      </w:r>
      <w:r>
        <w:t xml:space="preserve"> </w:t>
      </w:r>
      <w:r>
        <w:rPr>
          <w:spacing w:val="-2"/>
        </w:rPr>
        <w:t>成立时间：</w:t>
      </w:r>
      <w:r>
        <w:rPr>
          <w:u w:val="single"/>
        </w:rPr>
        <w:tab/>
      </w:r>
      <w:r>
        <w:rPr>
          <w:spacing w:val="-10"/>
        </w:rPr>
        <w:t>年</w:t>
      </w:r>
      <w:r>
        <w:rPr>
          <w:u w:val="single"/>
        </w:rPr>
        <w:tab/>
      </w:r>
      <w:r>
        <w:rPr>
          <w:spacing w:val="-10"/>
        </w:rPr>
        <w:t>月</w:t>
      </w:r>
      <w:r>
        <w:rPr>
          <w:u w:val="single"/>
        </w:rPr>
        <w:tab/>
      </w:r>
      <w:r>
        <w:rPr>
          <w:spacing w:val="-10"/>
        </w:rPr>
        <w:t>日</w:t>
      </w:r>
      <w:r>
        <w:rPr>
          <w:spacing w:val="-2"/>
        </w:rPr>
        <w:t>经营期限：</w:t>
      </w:r>
      <w:r>
        <w:rPr>
          <w:u w:val="single"/>
        </w:rPr>
        <w:tab/>
      </w:r>
      <w:r>
        <w:rPr>
          <w:u w:val="single"/>
        </w:rPr>
        <w:tab/>
      </w:r>
      <w:r>
        <w:rPr>
          <w:u w:val="single"/>
        </w:rPr>
        <w:tab/>
      </w:r>
      <w:r>
        <w:rPr>
          <w:u w:val="single"/>
        </w:rPr>
        <w:tab/>
      </w:r>
      <w:r>
        <w:rPr>
          <w:u w:val="single"/>
        </w:rPr>
        <w:tab/>
      </w:r>
    </w:p>
    <w:p w14:paraId="63A4C944">
      <w:pPr>
        <w:pStyle w:val="18"/>
        <w:tabs>
          <w:tab w:val="left" w:pos="2628"/>
          <w:tab w:val="left" w:pos="4308"/>
          <w:tab w:val="left" w:pos="5830"/>
          <w:tab w:val="left" w:pos="7820"/>
        </w:tabs>
        <w:spacing w:line="267" w:lineRule="exact"/>
        <w:ind w:left="1106"/>
      </w:pPr>
      <w:r>
        <w:t>姓名</w:t>
      </w:r>
      <w:r>
        <w:rPr>
          <w:spacing w:val="-10"/>
        </w:rPr>
        <w:t>：</w:t>
      </w:r>
      <w:r>
        <w:rPr>
          <w:u w:val="single"/>
        </w:rPr>
        <w:tab/>
      </w:r>
      <w:r>
        <w:t>性别</w:t>
      </w:r>
      <w:r>
        <w:rPr>
          <w:spacing w:val="-10"/>
        </w:rPr>
        <w:t>：</w:t>
      </w:r>
      <w:r>
        <w:rPr>
          <w:u w:val="single"/>
        </w:rPr>
        <w:tab/>
      </w:r>
      <w:r>
        <w:t>年龄</w:t>
      </w:r>
      <w:r>
        <w:rPr>
          <w:spacing w:val="-10"/>
        </w:rPr>
        <w:t>：</w:t>
      </w:r>
      <w:r>
        <w:rPr>
          <w:u w:val="single"/>
        </w:rPr>
        <w:tab/>
      </w:r>
      <w:r>
        <w:rPr>
          <w:spacing w:val="-2"/>
        </w:rPr>
        <w:t>现任职务</w:t>
      </w:r>
      <w:r>
        <w:rPr>
          <w:spacing w:val="-10"/>
        </w:rPr>
        <w:t>：</w:t>
      </w:r>
      <w:r>
        <w:rPr>
          <w:u w:val="single"/>
        </w:rPr>
        <w:tab/>
      </w:r>
    </w:p>
    <w:p w14:paraId="702D7673">
      <w:pPr>
        <w:pStyle w:val="18"/>
        <w:tabs>
          <w:tab w:val="left" w:pos="4414"/>
        </w:tabs>
        <w:spacing w:before="139" w:line="367" w:lineRule="auto"/>
        <w:ind w:left="686" w:right="156" w:firstLine="419"/>
      </w:pPr>
      <w:r>
        <w:rPr>
          <w:spacing w:val="-10"/>
        </w:rPr>
        <w:t>系</w:t>
      </w:r>
      <w:r>
        <w:rPr>
          <w:u w:val="single"/>
        </w:rPr>
        <w:tab/>
      </w:r>
      <w:r>
        <w:rPr>
          <w:spacing w:val="-2"/>
        </w:rPr>
        <w:t>（供应商名称）的法定代表人（或非法人组织负</w:t>
      </w:r>
      <w:r>
        <w:rPr>
          <w:spacing w:val="-4"/>
        </w:rPr>
        <w:t>责人）。</w:t>
      </w:r>
    </w:p>
    <w:p w14:paraId="078C6CD9">
      <w:pPr>
        <w:pStyle w:val="18"/>
        <w:spacing w:before="134"/>
        <w:ind w:left="0"/>
      </w:pPr>
    </w:p>
    <w:p w14:paraId="392B0246">
      <w:pPr>
        <w:pStyle w:val="18"/>
        <w:ind w:left="1106"/>
      </w:pPr>
      <w:r>
        <w:rPr>
          <w:spacing w:val="-4"/>
        </w:rPr>
        <w:t>特此证明。</w:t>
      </w:r>
    </w:p>
    <w:p w14:paraId="543DCDA5">
      <w:pPr>
        <w:pStyle w:val="10"/>
        <w:spacing w:before="173"/>
        <w:ind w:left="0" w:right="2002" w:firstLine="0"/>
        <w:jc w:val="right"/>
        <w:rPr>
          <w:rFonts w:ascii="宋体" w:hAnsi="宋体" w:eastAsia="宋体"/>
        </w:rPr>
      </w:pPr>
      <w:r>
        <w:rPr>
          <w:rFonts w:ascii="宋体" w:hAnsi="宋体" w:eastAsia="宋体"/>
          <w:spacing w:val="-2"/>
        </w:rPr>
        <w:t>注：提供法定代表人（或非法人组织负责人）</w:t>
      </w:r>
      <w:r>
        <w:rPr>
          <w:rFonts w:ascii="宋体" w:hAnsi="宋体" w:eastAsia="宋体"/>
          <w:spacing w:val="-3"/>
        </w:rPr>
        <w:t>的身份证正、反面扫描件</w:t>
      </w:r>
    </w:p>
    <w:p w14:paraId="1767A897">
      <w:pPr>
        <w:pStyle w:val="18"/>
        <w:ind w:left="0"/>
        <w:rPr>
          <w:b/>
        </w:rPr>
      </w:pPr>
    </w:p>
    <w:p w14:paraId="2D930235">
      <w:pPr>
        <w:pStyle w:val="18"/>
        <w:ind w:left="0"/>
        <w:rPr>
          <w:b/>
        </w:rPr>
      </w:pPr>
    </w:p>
    <w:p w14:paraId="1EAD21B4">
      <w:pPr>
        <w:pStyle w:val="18"/>
        <w:ind w:left="0"/>
        <w:rPr>
          <w:b/>
        </w:rPr>
      </w:pPr>
    </w:p>
    <w:p w14:paraId="51989E3B">
      <w:pPr>
        <w:pStyle w:val="18"/>
        <w:ind w:left="0"/>
        <w:rPr>
          <w:b/>
        </w:rPr>
      </w:pPr>
    </w:p>
    <w:p w14:paraId="7DC474D3">
      <w:pPr>
        <w:pStyle w:val="18"/>
        <w:ind w:left="0"/>
        <w:rPr>
          <w:b/>
        </w:rPr>
      </w:pPr>
    </w:p>
    <w:p w14:paraId="14A72481">
      <w:pPr>
        <w:pStyle w:val="18"/>
        <w:spacing w:before="210"/>
        <w:ind w:left="0"/>
        <w:rPr>
          <w:b/>
        </w:rPr>
      </w:pPr>
    </w:p>
    <w:p w14:paraId="41453009">
      <w:pPr>
        <w:pStyle w:val="18"/>
        <w:tabs>
          <w:tab w:val="left" w:pos="3099"/>
        </w:tabs>
        <w:ind w:left="1106"/>
      </w:pPr>
      <w:r>
        <w:rPr>
          <w:spacing w:val="-2"/>
        </w:rPr>
        <w:t>供应商名称</w:t>
      </w:r>
      <w:r>
        <w:rPr>
          <w:spacing w:val="-10"/>
        </w:rPr>
        <w:t>：</w:t>
      </w:r>
      <w:r>
        <w:rPr>
          <w:u w:val="single"/>
        </w:rPr>
        <w:tab/>
      </w:r>
      <w:r>
        <w:rPr>
          <w:spacing w:val="-2"/>
        </w:rPr>
        <w:t>（盖单位公章</w:t>
      </w:r>
      <w:r>
        <w:rPr>
          <w:spacing w:val="-10"/>
        </w:rPr>
        <w:t>）</w:t>
      </w:r>
    </w:p>
    <w:p w14:paraId="5BC17942">
      <w:pPr>
        <w:pStyle w:val="18"/>
        <w:ind w:left="0"/>
      </w:pPr>
    </w:p>
    <w:p w14:paraId="6E5E6865">
      <w:pPr>
        <w:pStyle w:val="18"/>
        <w:spacing w:before="9"/>
        <w:ind w:left="0"/>
      </w:pPr>
    </w:p>
    <w:p w14:paraId="2B00A8BC">
      <w:pPr>
        <w:pStyle w:val="18"/>
        <w:tabs>
          <w:tab w:val="left" w:pos="1735"/>
          <w:tab w:val="left" w:pos="2470"/>
          <w:tab w:val="left" w:pos="3154"/>
        </w:tabs>
        <w:ind w:left="1104"/>
      </w:pPr>
      <w:r>
        <w:rPr>
          <w:u w:val="single"/>
        </w:rPr>
        <w:tab/>
      </w:r>
      <w:r>
        <w:rPr>
          <w:spacing w:val="-10"/>
        </w:rPr>
        <w:t>年</w:t>
      </w:r>
      <w:r>
        <w:rPr>
          <w:u w:val="single"/>
        </w:rPr>
        <w:tab/>
      </w:r>
      <w:r>
        <w:rPr>
          <w:spacing w:val="-10"/>
        </w:rPr>
        <w:t>月</w:t>
      </w:r>
      <w:r>
        <w:rPr>
          <w:u w:val="single"/>
        </w:rPr>
        <w:tab/>
      </w:r>
      <w:r>
        <w:rPr>
          <w:spacing w:val="-10"/>
        </w:rPr>
        <w:t>日</w:t>
      </w:r>
    </w:p>
    <w:p w14:paraId="4CE0DDF1">
      <w:pPr>
        <w:pStyle w:val="18"/>
        <w:sectPr>
          <w:pgSz w:w="11920" w:h="16850"/>
          <w:pgMar w:top="1420" w:right="992" w:bottom="1100" w:left="1133" w:header="0" w:footer="913" w:gutter="0"/>
          <w:cols w:space="720" w:num="1"/>
        </w:sectPr>
      </w:pPr>
    </w:p>
    <w:p w14:paraId="4A5321CA">
      <w:pPr>
        <w:pStyle w:val="7"/>
        <w:ind w:right="80"/>
        <w:jc w:val="center"/>
        <w:rPr>
          <w:rFonts w:ascii="宋体" w:hAnsi="宋体" w:eastAsia="宋体"/>
        </w:rPr>
      </w:pPr>
      <w:bookmarkStart w:id="550" w:name="（二）法定代表人（或非法人组织负责人）授权委托书"/>
      <w:bookmarkEnd w:id="550"/>
      <w:r>
        <w:rPr>
          <w:rFonts w:ascii="宋体" w:hAnsi="宋体" w:eastAsia="宋体"/>
        </w:rPr>
        <w:t>（二）法定代表人（或非法人组织负责人）</w:t>
      </w:r>
      <w:r>
        <w:rPr>
          <w:rFonts w:ascii="宋体" w:hAnsi="宋体" w:eastAsia="宋体"/>
          <w:spacing w:val="-2"/>
        </w:rPr>
        <w:t>授权委托书</w:t>
      </w:r>
    </w:p>
    <w:p w14:paraId="12AEEE71">
      <w:pPr>
        <w:pStyle w:val="18"/>
        <w:tabs>
          <w:tab w:val="left" w:pos="2258"/>
          <w:tab w:val="left" w:pos="4155"/>
          <w:tab w:val="left" w:pos="8564"/>
        </w:tabs>
        <w:spacing w:before="107" w:line="364" w:lineRule="auto"/>
        <w:ind w:left="686" w:right="689" w:firstLine="419"/>
      </w:pPr>
      <w:r>
        <w:rPr>
          <w:spacing w:val="-6"/>
        </w:rPr>
        <w:t>本人</w:t>
      </w:r>
      <w:r>
        <w:rPr>
          <w:u w:val="single"/>
        </w:rPr>
        <w:tab/>
      </w:r>
      <w:r>
        <w:rPr>
          <w:spacing w:val="-2"/>
        </w:rPr>
        <w:t>（姓名）系</w:t>
      </w:r>
      <w:r>
        <w:rPr>
          <w:u w:val="single"/>
        </w:rPr>
        <w:tab/>
      </w:r>
      <w:r>
        <w:rPr>
          <w:spacing w:val="-2"/>
        </w:rPr>
        <w:t>（供应商名称）的法定代表人，现委托</w:t>
      </w:r>
      <w:r>
        <w:rPr>
          <w:u w:val="single"/>
        </w:rPr>
        <w:tab/>
      </w:r>
      <w:r>
        <w:rPr>
          <w:spacing w:val="-6"/>
        </w:rPr>
        <w:t>（姓</w:t>
      </w:r>
      <w:r>
        <w:rPr>
          <w:spacing w:val="-2"/>
        </w:rPr>
        <w:t>名）为我方代理人。代理人根据授权，以我方名义签署、澄清、说明、补正、递交、撤回、</w:t>
      </w:r>
      <w:r>
        <w:rPr>
          <w:spacing w:val="-6"/>
        </w:rPr>
        <w:t>修改</w:t>
      </w:r>
      <w:r>
        <w:rPr>
          <w:u w:val="single"/>
        </w:rPr>
        <w:tab/>
      </w:r>
      <w:r>
        <w:rPr>
          <w:spacing w:val="-2"/>
        </w:rPr>
        <w:t>（项目名称）响应文件、签订合同和处理一切与之有关的事宜，其法律后果由我方承担。</w:t>
      </w:r>
    </w:p>
    <w:p w14:paraId="3080A3D4">
      <w:pPr>
        <w:pStyle w:val="18"/>
        <w:tabs>
          <w:tab w:val="left" w:pos="3519"/>
        </w:tabs>
        <w:spacing w:line="364" w:lineRule="auto"/>
        <w:ind w:left="1106" w:right="6053"/>
      </w:pPr>
      <w:r>
        <w:rPr>
          <w:spacing w:val="-2"/>
        </w:rPr>
        <w:t>委托期限：</w:t>
      </w:r>
      <w:r>
        <w:rPr>
          <w:u w:val="single"/>
        </w:rPr>
        <w:tab/>
      </w:r>
      <w:r>
        <w:rPr>
          <w:spacing w:val="-10"/>
        </w:rPr>
        <w:t>。</w:t>
      </w:r>
      <w:r>
        <w:rPr>
          <w:spacing w:val="-2"/>
        </w:rPr>
        <w:t>代理人无转委托权。</w:t>
      </w:r>
    </w:p>
    <w:p w14:paraId="62AD53C0">
      <w:pPr>
        <w:pStyle w:val="18"/>
        <w:tabs>
          <w:tab w:val="left" w:pos="2470"/>
          <w:tab w:val="left" w:pos="2995"/>
          <w:tab w:val="left" w:pos="3519"/>
        </w:tabs>
        <w:spacing w:line="315" w:lineRule="exact"/>
        <w:ind w:left="1106"/>
      </w:pPr>
      <w:r>
        <w:rPr>
          <w:spacing w:val="-2"/>
        </w:rPr>
        <w:t>本授权书</w:t>
      </w:r>
      <w:r>
        <w:rPr>
          <w:spacing w:val="-10"/>
        </w:rPr>
        <w:t>于</w:t>
      </w:r>
      <w:r>
        <w:rPr>
          <w:u w:val="single"/>
        </w:rPr>
        <w:tab/>
      </w:r>
      <w:r>
        <w:rPr>
          <w:spacing w:val="-10"/>
        </w:rPr>
        <w:t>年</w:t>
      </w:r>
      <w:r>
        <w:rPr>
          <w:u w:val="single"/>
        </w:rPr>
        <w:tab/>
      </w:r>
      <w:r>
        <w:rPr>
          <w:spacing w:val="-10"/>
        </w:rPr>
        <w:t>月</w:t>
      </w:r>
      <w:r>
        <w:rPr>
          <w:u w:val="single"/>
        </w:rPr>
        <w:tab/>
      </w:r>
      <w:r>
        <w:rPr>
          <w:spacing w:val="-2"/>
        </w:rPr>
        <w:t>日签字或盖章生效，无转委托，特此声明</w:t>
      </w:r>
      <w:r>
        <w:rPr>
          <w:spacing w:val="-10"/>
        </w:rPr>
        <w:t>。</w:t>
      </w:r>
    </w:p>
    <w:p w14:paraId="158AB2B0">
      <w:pPr>
        <w:pStyle w:val="10"/>
        <w:spacing w:before="124"/>
        <w:ind w:left="1243" w:firstLine="0"/>
        <w:rPr>
          <w:rFonts w:ascii="宋体" w:hAnsi="宋体" w:eastAsia="宋体"/>
        </w:rPr>
      </w:pPr>
      <w:r>
        <w:rPr>
          <w:rFonts w:ascii="宋体" w:hAnsi="宋体" w:eastAsia="宋体"/>
          <w:spacing w:val="-2"/>
        </w:rPr>
        <w:t>注：提供法定代表人（或非法人组织负责人）</w:t>
      </w:r>
      <w:r>
        <w:rPr>
          <w:rFonts w:ascii="宋体" w:hAnsi="宋体" w:eastAsia="宋体"/>
          <w:spacing w:val="-3"/>
        </w:rPr>
        <w:t>和委托代理人的身份证正、反面扫描件</w:t>
      </w:r>
    </w:p>
    <w:p w14:paraId="4CB88C6B">
      <w:pPr>
        <w:pStyle w:val="18"/>
        <w:ind w:left="0"/>
        <w:rPr>
          <w:b/>
        </w:rPr>
      </w:pPr>
    </w:p>
    <w:p w14:paraId="2EF4D561">
      <w:pPr>
        <w:pStyle w:val="18"/>
        <w:ind w:left="0"/>
        <w:rPr>
          <w:b/>
        </w:rPr>
      </w:pPr>
    </w:p>
    <w:p w14:paraId="501CCACF">
      <w:pPr>
        <w:pStyle w:val="18"/>
        <w:ind w:left="0"/>
        <w:rPr>
          <w:b/>
        </w:rPr>
      </w:pPr>
    </w:p>
    <w:p w14:paraId="437119A9">
      <w:pPr>
        <w:pStyle w:val="18"/>
        <w:ind w:left="0"/>
        <w:rPr>
          <w:b/>
        </w:rPr>
      </w:pPr>
    </w:p>
    <w:p w14:paraId="4BE55948">
      <w:pPr>
        <w:pStyle w:val="18"/>
        <w:ind w:left="0"/>
        <w:rPr>
          <w:b/>
        </w:rPr>
      </w:pPr>
    </w:p>
    <w:p w14:paraId="0DE428C0">
      <w:pPr>
        <w:pStyle w:val="18"/>
        <w:spacing w:before="88"/>
        <w:ind w:left="0"/>
        <w:rPr>
          <w:b/>
        </w:rPr>
      </w:pPr>
    </w:p>
    <w:p w14:paraId="7173BAC5">
      <w:pPr>
        <w:pStyle w:val="18"/>
        <w:tabs>
          <w:tab w:val="left" w:pos="5619"/>
          <w:tab w:val="left" w:pos="5667"/>
        </w:tabs>
        <w:spacing w:line="364" w:lineRule="auto"/>
        <w:ind w:left="1106" w:right="2692"/>
        <w:jc w:val="both"/>
      </w:pPr>
      <w:r>
        <w:rPr>
          <w:spacing w:val="-2"/>
        </w:rPr>
        <w:t>供应商名称：</w:t>
      </w:r>
      <w:r>
        <w:rPr>
          <w:u w:val="single"/>
        </w:rPr>
        <w:tab/>
      </w:r>
      <w:r>
        <w:rPr>
          <w:spacing w:val="-2"/>
        </w:rPr>
        <w:t>（盖单位公章）法定代表人：</w:t>
      </w:r>
      <w:r>
        <w:rPr>
          <w:u w:val="single"/>
        </w:rPr>
        <w:tab/>
      </w:r>
      <w:r>
        <w:rPr>
          <w:spacing w:val="-2"/>
        </w:rPr>
        <w:t>（签字或盖章）身份证号码：</w:t>
      </w:r>
      <w:r>
        <w:rPr>
          <w:u w:val="single"/>
        </w:rPr>
        <w:tab/>
      </w:r>
      <w:r>
        <w:rPr>
          <w:u w:val="single"/>
        </w:rPr>
        <w:tab/>
      </w:r>
    </w:p>
    <w:p w14:paraId="1812C136">
      <w:pPr>
        <w:pStyle w:val="18"/>
        <w:tabs>
          <w:tab w:val="left" w:pos="5564"/>
          <w:tab w:val="left" w:pos="5616"/>
        </w:tabs>
        <w:spacing w:line="364" w:lineRule="auto"/>
        <w:ind w:left="1106" w:right="3377"/>
      </w:pPr>
      <w:r>
        <w:rPr>
          <w:spacing w:val="-2"/>
        </w:rPr>
        <w:t>委托代理人：</w:t>
      </w:r>
      <w:r>
        <w:rPr>
          <w:u w:val="single"/>
        </w:rPr>
        <w:tab/>
      </w:r>
      <w:r>
        <w:rPr>
          <w:spacing w:val="-4"/>
        </w:rPr>
        <w:t>（签字）</w:t>
      </w:r>
      <w:r>
        <w:rPr>
          <w:spacing w:val="-2"/>
        </w:rPr>
        <w:t>身份证号码：</w:t>
      </w:r>
      <w:r>
        <w:rPr>
          <w:u w:val="single"/>
        </w:rPr>
        <w:tab/>
      </w:r>
      <w:r>
        <w:rPr>
          <w:u w:val="single"/>
        </w:rPr>
        <w:tab/>
      </w:r>
    </w:p>
    <w:p w14:paraId="5C120987">
      <w:pPr>
        <w:pStyle w:val="18"/>
        <w:tabs>
          <w:tab w:val="left" w:pos="1893"/>
          <w:tab w:val="left" w:pos="2907"/>
          <w:tab w:val="left" w:pos="3850"/>
        </w:tabs>
        <w:ind w:left="1106"/>
      </w:pPr>
      <w:r>
        <w:rPr>
          <w:u w:val="single"/>
        </w:rPr>
        <w:tab/>
      </w:r>
      <w:r>
        <w:rPr>
          <w:spacing w:val="-10"/>
        </w:rPr>
        <w:t>年</w:t>
      </w:r>
      <w:r>
        <w:rPr>
          <w:u w:val="single"/>
        </w:rPr>
        <w:tab/>
      </w:r>
      <w:r>
        <w:rPr>
          <w:spacing w:val="-10"/>
        </w:rPr>
        <w:t>月</w:t>
      </w:r>
      <w:r>
        <w:rPr>
          <w:u w:val="single"/>
        </w:rPr>
        <w:tab/>
      </w:r>
      <w:r>
        <w:rPr>
          <w:spacing w:val="-10"/>
        </w:rPr>
        <w:t>日</w:t>
      </w:r>
    </w:p>
    <w:p w14:paraId="2C708876">
      <w:pPr>
        <w:pStyle w:val="18"/>
        <w:sectPr>
          <w:pgSz w:w="11920" w:h="16850"/>
          <w:pgMar w:top="1420" w:right="992" w:bottom="1100" w:left="1133" w:header="0" w:footer="913" w:gutter="0"/>
          <w:cols w:space="720" w:num="1"/>
        </w:sectPr>
      </w:pPr>
    </w:p>
    <w:p w14:paraId="3A708D21">
      <w:pPr>
        <w:pStyle w:val="5"/>
        <w:rPr>
          <w:rFonts w:ascii="宋体" w:hAnsi="宋体" w:eastAsia="宋体"/>
        </w:rPr>
      </w:pPr>
      <w:bookmarkStart w:id="551" w:name="四、竞争性磋商承诺函"/>
      <w:bookmarkEnd w:id="551"/>
      <w:r>
        <w:rPr>
          <w:rFonts w:ascii="宋体" w:hAnsi="宋体" w:eastAsia="宋体"/>
          <w:spacing w:val="-1"/>
        </w:rPr>
        <w:t>四、竞争性磋商承诺函</w:t>
      </w:r>
    </w:p>
    <w:p w14:paraId="3AC36D3F">
      <w:pPr>
        <w:spacing w:line="360" w:lineRule="auto"/>
        <w:ind w:firstLine="420" w:firstLineChars="200"/>
        <w:rPr>
          <w:sz w:val="21"/>
          <w:szCs w:val="21"/>
        </w:rPr>
      </w:pPr>
      <w:r>
        <w:rPr>
          <w:sz w:val="21"/>
          <w:szCs w:val="21"/>
        </w:rPr>
        <w:t>致：</w:t>
      </w:r>
      <w:r>
        <w:rPr>
          <w:sz w:val="21"/>
          <w:szCs w:val="21"/>
          <w:u w:val="single"/>
        </w:rPr>
        <w:t>（采购人及采购代理机构）</w:t>
      </w:r>
    </w:p>
    <w:p w14:paraId="62E572A2">
      <w:pPr>
        <w:spacing w:line="360" w:lineRule="auto"/>
        <w:ind w:firstLine="420" w:firstLineChars="200"/>
        <w:rPr>
          <w:sz w:val="21"/>
          <w:szCs w:val="21"/>
        </w:rPr>
      </w:pPr>
      <w:r>
        <w:rPr>
          <w:sz w:val="21"/>
          <w:szCs w:val="21"/>
        </w:rPr>
        <w:t>我单位在此郑重承诺：</w:t>
      </w:r>
    </w:p>
    <w:p w14:paraId="3BEF7BBA">
      <w:pPr>
        <w:spacing w:line="360" w:lineRule="auto"/>
        <w:ind w:firstLine="420" w:firstLineChars="200"/>
        <w:rPr>
          <w:sz w:val="21"/>
          <w:szCs w:val="21"/>
        </w:rPr>
      </w:pPr>
      <w:r>
        <w:rPr>
          <w:sz w:val="21"/>
          <w:szCs w:val="21"/>
        </w:rPr>
        <w:t>一、具备《中华人民共和国政府采购法》第二十二条第一款和本项目规定的条件：</w:t>
      </w:r>
    </w:p>
    <w:p w14:paraId="0D434917">
      <w:pPr>
        <w:spacing w:line="360" w:lineRule="auto"/>
        <w:ind w:firstLine="420" w:firstLineChars="200"/>
        <w:rPr>
          <w:sz w:val="21"/>
          <w:szCs w:val="21"/>
        </w:rPr>
      </w:pPr>
      <w:r>
        <w:rPr>
          <w:sz w:val="21"/>
          <w:szCs w:val="21"/>
        </w:rPr>
        <w:t>（一）具有独立承担民事责任的能力；</w:t>
      </w:r>
    </w:p>
    <w:p w14:paraId="268F9310">
      <w:pPr>
        <w:spacing w:line="360" w:lineRule="auto"/>
        <w:ind w:firstLine="420" w:firstLineChars="200"/>
        <w:rPr>
          <w:sz w:val="21"/>
          <w:szCs w:val="21"/>
        </w:rPr>
      </w:pPr>
      <w:r>
        <w:rPr>
          <w:sz w:val="21"/>
          <w:szCs w:val="21"/>
        </w:rPr>
        <w:t>（二）具有良好的商业信誉和健全的财务会计制度；</w:t>
      </w:r>
    </w:p>
    <w:p w14:paraId="740B15C5">
      <w:pPr>
        <w:spacing w:line="360" w:lineRule="auto"/>
        <w:ind w:firstLine="420" w:firstLineChars="200"/>
        <w:rPr>
          <w:sz w:val="21"/>
          <w:szCs w:val="21"/>
        </w:rPr>
      </w:pPr>
      <w:r>
        <w:rPr>
          <w:sz w:val="21"/>
          <w:szCs w:val="21"/>
        </w:rPr>
        <w:t>（三）具有履行合同所必需的设备和专业技术能力；</w:t>
      </w:r>
    </w:p>
    <w:p w14:paraId="5A33A7FF">
      <w:pPr>
        <w:spacing w:line="360" w:lineRule="auto"/>
        <w:ind w:firstLine="420" w:firstLineChars="200"/>
        <w:rPr>
          <w:sz w:val="21"/>
          <w:szCs w:val="21"/>
        </w:rPr>
      </w:pPr>
      <w:r>
        <w:rPr>
          <w:sz w:val="21"/>
          <w:szCs w:val="21"/>
        </w:rPr>
        <w:t>（四）有依法缴纳税收和社会保障资金的良好记录；</w:t>
      </w:r>
    </w:p>
    <w:p w14:paraId="7EB59C34">
      <w:pPr>
        <w:spacing w:line="360" w:lineRule="auto"/>
        <w:ind w:firstLine="420" w:firstLineChars="200"/>
        <w:rPr>
          <w:sz w:val="21"/>
          <w:szCs w:val="21"/>
        </w:rPr>
      </w:pPr>
      <w:r>
        <w:rPr>
          <w:sz w:val="21"/>
          <w:szCs w:val="21"/>
        </w:rPr>
        <w:t>（五）参加政府采购活动前三年内，在经营活动中没有重大违法记录；</w:t>
      </w:r>
    </w:p>
    <w:p w14:paraId="6A8B966F">
      <w:pPr>
        <w:spacing w:line="360" w:lineRule="auto"/>
        <w:ind w:firstLine="420" w:firstLineChars="200"/>
        <w:rPr>
          <w:sz w:val="21"/>
          <w:szCs w:val="21"/>
        </w:rPr>
      </w:pPr>
      <w:r>
        <w:rPr>
          <w:sz w:val="21"/>
          <w:szCs w:val="21"/>
        </w:rPr>
        <w:t>（六）法律、行政法规规定的其他条件；</w:t>
      </w:r>
    </w:p>
    <w:p w14:paraId="44FD4E10">
      <w:pPr>
        <w:spacing w:line="360" w:lineRule="auto"/>
        <w:ind w:firstLine="420" w:firstLineChars="200"/>
        <w:rPr>
          <w:sz w:val="21"/>
          <w:szCs w:val="21"/>
        </w:rPr>
      </w:pPr>
      <w:r>
        <w:rPr>
          <w:sz w:val="21"/>
          <w:szCs w:val="21"/>
        </w:rPr>
        <w:t>（七）根据采购项目提出的特殊条件。</w:t>
      </w:r>
    </w:p>
    <w:p w14:paraId="61599401">
      <w:pPr>
        <w:spacing w:line="360" w:lineRule="auto"/>
        <w:ind w:firstLine="420" w:firstLineChars="200"/>
        <w:rPr>
          <w:sz w:val="21"/>
          <w:szCs w:val="21"/>
        </w:rPr>
      </w:pPr>
      <w:r>
        <w:rPr>
          <w:sz w:val="21"/>
          <w:szCs w:val="21"/>
        </w:rPr>
        <w:t>二、完全接受和满足本项目磋商文件中规定的实质性要求，如对磋商文件有异议，已经在磋商截止时间届满前依法进行维权救济，不存在对磋商文件有异议的同时又参加磋商以求侥幸成交或者为实现其他非法目的的行为。</w:t>
      </w:r>
    </w:p>
    <w:p w14:paraId="2A26B9C3">
      <w:pPr>
        <w:spacing w:line="360" w:lineRule="auto"/>
        <w:ind w:firstLine="420" w:firstLineChars="200"/>
        <w:rPr>
          <w:sz w:val="21"/>
          <w:szCs w:val="21"/>
        </w:rPr>
      </w:pPr>
      <w:r>
        <w:rPr>
          <w:sz w:val="21"/>
          <w:szCs w:val="21"/>
        </w:rPr>
        <w:t>三、参加本次采购活动，不存在与单位负责人为同一人或者存在直接控股、管理关系的其他供应商参与同一合同项下的政府采购活动的行为。</w:t>
      </w:r>
    </w:p>
    <w:p w14:paraId="32238B6F">
      <w:pPr>
        <w:spacing w:line="360" w:lineRule="auto"/>
        <w:ind w:firstLine="420" w:firstLineChars="200"/>
        <w:rPr>
          <w:sz w:val="21"/>
          <w:szCs w:val="21"/>
        </w:rPr>
      </w:pPr>
      <w:r>
        <w:rPr>
          <w:sz w:val="21"/>
          <w:szCs w:val="21"/>
        </w:rPr>
        <w:t>四、参加本次采购活动，不存在为采购项目提供整体设计、规范编制或者项目管理、监理、检测等服务的行为。</w:t>
      </w:r>
    </w:p>
    <w:p w14:paraId="1A73D824">
      <w:pPr>
        <w:spacing w:line="360" w:lineRule="auto"/>
        <w:ind w:firstLine="420" w:firstLineChars="200"/>
        <w:rPr>
          <w:sz w:val="21"/>
          <w:szCs w:val="21"/>
        </w:rPr>
      </w:pPr>
      <w:r>
        <w:rPr>
          <w:sz w:val="21"/>
          <w:szCs w:val="21"/>
        </w:rPr>
        <w:t>五、参加本次采购活动，不存在和其他供应商在同一合同项下的采购项目中，同时委托同一个自然人、同一家庭的人员、同一单位的人员作为代理人的行为。</w:t>
      </w:r>
    </w:p>
    <w:p w14:paraId="271C6330">
      <w:pPr>
        <w:spacing w:line="360" w:lineRule="auto"/>
        <w:ind w:firstLine="420" w:firstLineChars="200"/>
        <w:rPr>
          <w:sz w:val="21"/>
          <w:szCs w:val="21"/>
        </w:rPr>
      </w:pPr>
      <w:r>
        <w:rPr>
          <w:sz w:val="21"/>
          <w:szCs w:val="21"/>
        </w:rPr>
        <w:t>六、供应商参加本次政府采购活动要求在近三年内供应商和其法定代表人没有行贿犯罪行为。七、参加本次采购活动，不存在联合体磋商。</w:t>
      </w:r>
    </w:p>
    <w:p w14:paraId="0AFD7548">
      <w:pPr>
        <w:spacing w:line="360" w:lineRule="auto"/>
        <w:ind w:firstLine="420" w:firstLineChars="200"/>
        <w:rPr>
          <w:sz w:val="21"/>
          <w:szCs w:val="21"/>
        </w:rPr>
      </w:pPr>
      <w:r>
        <w:rPr>
          <w:sz w:val="21"/>
          <w:szCs w:val="21"/>
        </w:rPr>
        <w:t>八、响应文件中提供的能够给予我公司带来优惠、好处的任何材料资料和技术、服务、综合等响应承诺情况都是真实的、有效的、合法的。</w:t>
      </w:r>
    </w:p>
    <w:p w14:paraId="7009333F">
      <w:pPr>
        <w:spacing w:line="360" w:lineRule="auto"/>
        <w:ind w:firstLine="420" w:firstLineChars="200"/>
        <w:rPr>
          <w:sz w:val="21"/>
          <w:szCs w:val="21"/>
        </w:rPr>
      </w:pPr>
      <w:r>
        <w:rPr>
          <w:sz w:val="21"/>
          <w:szCs w:val="21"/>
        </w:rPr>
        <w:t>九、存在以下行为之一的愿意接受相关部门的处理：</w:t>
      </w:r>
    </w:p>
    <w:p w14:paraId="0C48F5CC">
      <w:pPr>
        <w:spacing w:line="360" w:lineRule="auto"/>
        <w:ind w:firstLine="420" w:firstLineChars="200"/>
        <w:rPr>
          <w:sz w:val="21"/>
          <w:szCs w:val="21"/>
        </w:rPr>
      </w:pPr>
      <w:r>
        <w:rPr>
          <w:sz w:val="21"/>
          <w:szCs w:val="21"/>
        </w:rPr>
        <w:t>（一）磋商有效期内撤销响应文件的；</w:t>
      </w:r>
    </w:p>
    <w:p w14:paraId="32473AB9">
      <w:pPr>
        <w:spacing w:line="360" w:lineRule="auto"/>
        <w:ind w:firstLine="420" w:firstLineChars="200"/>
        <w:rPr>
          <w:sz w:val="21"/>
          <w:szCs w:val="21"/>
        </w:rPr>
      </w:pPr>
      <w:r>
        <w:rPr>
          <w:sz w:val="21"/>
          <w:szCs w:val="21"/>
        </w:rPr>
        <w:t>（二）在采购人确定成交供应商以前放弃成交候选资格的；</w:t>
      </w:r>
    </w:p>
    <w:p w14:paraId="2593498A">
      <w:pPr>
        <w:spacing w:line="360" w:lineRule="auto"/>
        <w:ind w:firstLine="420" w:firstLineChars="200"/>
        <w:rPr>
          <w:sz w:val="21"/>
          <w:szCs w:val="21"/>
        </w:rPr>
      </w:pPr>
      <w:r>
        <w:rPr>
          <w:sz w:val="21"/>
          <w:szCs w:val="21"/>
        </w:rPr>
        <w:t>（三）由于成交供应商的原因未能按照磋商文件的规定与采购人签订合同；</w:t>
      </w:r>
    </w:p>
    <w:p w14:paraId="39F03C9F">
      <w:pPr>
        <w:spacing w:line="360" w:lineRule="auto"/>
        <w:ind w:firstLine="420" w:firstLineChars="200"/>
        <w:rPr>
          <w:sz w:val="21"/>
          <w:szCs w:val="21"/>
        </w:rPr>
      </w:pPr>
      <w:r>
        <w:rPr>
          <w:sz w:val="21"/>
          <w:szCs w:val="21"/>
        </w:rPr>
        <w:t>（四）由于成交供应商的原因未能按照磋商文件的规定交纳履约保证金（如有）；</w:t>
      </w:r>
    </w:p>
    <w:p w14:paraId="14187E13">
      <w:pPr>
        <w:spacing w:line="360" w:lineRule="auto"/>
        <w:ind w:firstLine="420" w:firstLineChars="200"/>
        <w:rPr>
          <w:sz w:val="21"/>
          <w:szCs w:val="21"/>
        </w:rPr>
      </w:pPr>
      <w:r>
        <w:rPr>
          <w:sz w:val="21"/>
          <w:szCs w:val="21"/>
        </w:rPr>
        <w:t>（五）在响应文件中提供虚假材料谋取成交；</w:t>
      </w:r>
    </w:p>
    <w:p w14:paraId="402641BE">
      <w:pPr>
        <w:spacing w:line="360" w:lineRule="auto"/>
        <w:ind w:firstLine="420" w:firstLineChars="200"/>
        <w:rPr>
          <w:sz w:val="21"/>
          <w:szCs w:val="21"/>
        </w:rPr>
      </w:pPr>
      <w:r>
        <w:rPr>
          <w:sz w:val="21"/>
          <w:szCs w:val="21"/>
        </w:rPr>
        <w:t>（六）与采购人、其他供应商或者采购代理机构恶意串通的；</w:t>
      </w:r>
    </w:p>
    <w:p w14:paraId="415D53FC">
      <w:pPr>
        <w:spacing w:line="360" w:lineRule="auto"/>
        <w:ind w:firstLine="420" w:firstLineChars="200"/>
        <w:rPr>
          <w:sz w:val="21"/>
          <w:szCs w:val="21"/>
        </w:rPr>
      </w:pPr>
      <w:r>
        <w:rPr>
          <w:sz w:val="21"/>
          <w:szCs w:val="21"/>
        </w:rPr>
        <w:t>（七）磋商有效期内，供应商在政府采购活动中有违法、违规、违纪行为。</w:t>
      </w:r>
    </w:p>
    <w:p w14:paraId="6B9686F7">
      <w:pPr>
        <w:spacing w:line="360" w:lineRule="auto"/>
        <w:ind w:firstLine="420" w:firstLineChars="200"/>
        <w:rPr>
          <w:sz w:val="21"/>
          <w:szCs w:val="21"/>
        </w:rPr>
      </w:pPr>
      <w:r>
        <w:rPr>
          <w:sz w:val="21"/>
          <w:szCs w:val="21"/>
        </w:rPr>
        <w:t>由此产生的一切法律后果和责任由我公司承担。我公司声明放弃对此提出任何异议和追索的权利。</w:t>
      </w:r>
    </w:p>
    <w:p w14:paraId="4777AA44">
      <w:pPr>
        <w:spacing w:line="360" w:lineRule="auto"/>
        <w:ind w:firstLine="420" w:firstLineChars="200"/>
        <w:rPr>
          <w:sz w:val="21"/>
          <w:szCs w:val="21"/>
        </w:rPr>
        <w:sectPr>
          <w:pgSz w:w="11920" w:h="16850"/>
          <w:pgMar w:top="1420" w:right="992" w:bottom="1100" w:left="1133" w:header="0" w:footer="913" w:gutter="0"/>
          <w:cols w:space="720" w:num="1"/>
        </w:sectPr>
      </w:pPr>
    </w:p>
    <w:p w14:paraId="7892BD9D">
      <w:pPr>
        <w:spacing w:line="360" w:lineRule="auto"/>
        <w:ind w:firstLine="420" w:firstLineChars="200"/>
        <w:rPr>
          <w:sz w:val="21"/>
          <w:szCs w:val="21"/>
        </w:rPr>
      </w:pPr>
      <w:r>
        <w:rPr>
          <w:sz w:val="21"/>
          <w:szCs w:val="21"/>
        </w:rPr>
        <w:t>本公司对上述承诺的内容事项真实性负责。如经查实上述承诺的内容事项存在虚假，我公司愿意接受以提供虚假材料谋取中标追究法律责任。</w:t>
      </w:r>
    </w:p>
    <w:p w14:paraId="0DEB9942">
      <w:pPr>
        <w:pStyle w:val="18"/>
        <w:ind w:left="0"/>
      </w:pPr>
    </w:p>
    <w:p w14:paraId="616AEF50">
      <w:pPr>
        <w:pStyle w:val="18"/>
        <w:ind w:left="0"/>
      </w:pPr>
    </w:p>
    <w:p w14:paraId="2320B3A8">
      <w:pPr>
        <w:pStyle w:val="18"/>
        <w:spacing w:before="9"/>
        <w:ind w:left="0"/>
      </w:pPr>
    </w:p>
    <w:p w14:paraId="77C77566">
      <w:pPr>
        <w:pStyle w:val="18"/>
        <w:tabs>
          <w:tab w:val="left" w:pos="5715"/>
        </w:tabs>
        <w:spacing w:line="364" w:lineRule="auto"/>
        <w:ind w:left="1106" w:right="2594"/>
        <w:jc w:val="center"/>
      </w:pPr>
      <w:r>
        <w:rPr>
          <w:spacing w:val="-2"/>
        </w:rPr>
        <w:t>供应商名称：</w:t>
      </w:r>
      <w:r>
        <w:rPr>
          <w:u w:val="single"/>
        </w:rPr>
        <w:tab/>
      </w:r>
      <w:r>
        <w:rPr>
          <w:spacing w:val="-2"/>
        </w:rPr>
        <w:t>（盖单位公章）法定代表人或其委托代理人</w:t>
      </w:r>
      <w:r>
        <w:rPr>
          <w:spacing w:val="-10"/>
        </w:rPr>
        <w:t>：</w:t>
      </w:r>
      <w:r>
        <w:rPr>
          <w:u w:val="single"/>
        </w:rPr>
        <w:tab/>
      </w:r>
      <w:r>
        <w:rPr>
          <w:spacing w:val="-2"/>
        </w:rPr>
        <w:t>（签字或盖章</w:t>
      </w:r>
      <w:r>
        <w:rPr>
          <w:spacing w:val="-10"/>
        </w:rPr>
        <w:t>）</w:t>
      </w:r>
    </w:p>
    <w:p w14:paraId="30E5013F">
      <w:pPr>
        <w:pStyle w:val="18"/>
        <w:tabs>
          <w:tab w:val="left" w:pos="1051"/>
          <w:tab w:val="left" w:pos="2050"/>
          <w:tab w:val="left" w:pos="3257"/>
        </w:tabs>
        <w:spacing w:line="267" w:lineRule="exact"/>
        <w:ind w:left="0" w:right="1511"/>
        <w:jc w:val="center"/>
      </w:pPr>
      <w:r>
        <w:rPr>
          <w:u w:val="single"/>
        </w:rPr>
        <w:tab/>
      </w:r>
      <w:r>
        <w:rPr>
          <w:spacing w:val="-10"/>
        </w:rPr>
        <w:t>年</w:t>
      </w:r>
      <w:r>
        <w:rPr>
          <w:u w:val="single"/>
        </w:rPr>
        <w:tab/>
      </w:r>
      <w:r>
        <w:rPr>
          <w:spacing w:val="-10"/>
        </w:rPr>
        <w:t>月</w:t>
      </w:r>
      <w:r>
        <w:rPr>
          <w:u w:val="single"/>
        </w:rPr>
        <w:tab/>
      </w:r>
      <w:r>
        <w:rPr>
          <w:spacing w:val="-10"/>
        </w:rPr>
        <w:t>日</w:t>
      </w:r>
    </w:p>
    <w:p w14:paraId="5EFF03A7">
      <w:pPr>
        <w:pStyle w:val="18"/>
        <w:spacing w:line="267" w:lineRule="exact"/>
        <w:jc w:val="center"/>
        <w:sectPr>
          <w:pgSz w:w="11920" w:h="16850"/>
          <w:pgMar w:top="1420" w:right="992" w:bottom="1100" w:left="1133" w:header="0" w:footer="913" w:gutter="0"/>
          <w:cols w:space="720" w:num="1"/>
        </w:sectPr>
      </w:pPr>
    </w:p>
    <w:p w14:paraId="63091AB1">
      <w:pPr>
        <w:pStyle w:val="5"/>
        <w:ind w:right="77"/>
        <w:rPr>
          <w:rFonts w:ascii="宋体" w:hAnsi="宋体" w:eastAsia="宋体"/>
        </w:rPr>
      </w:pPr>
      <w:bookmarkStart w:id="552" w:name="五、供应商资格证明文件"/>
      <w:bookmarkEnd w:id="552"/>
      <w:r>
        <w:rPr>
          <w:rFonts w:ascii="宋体" w:hAnsi="宋体" w:eastAsia="宋体"/>
          <w:spacing w:val="-1"/>
        </w:rPr>
        <w:t>五、供应商资格证明文件</w:t>
      </w:r>
    </w:p>
    <w:p w14:paraId="191BC53A">
      <w:pPr>
        <w:spacing w:line="360" w:lineRule="auto"/>
        <w:ind w:firstLine="440" w:firstLineChars="200"/>
      </w:pPr>
      <w:r>
        <w:rPr>
          <w:rFonts w:hint="eastAsia"/>
        </w:rPr>
        <w:t>（1）</w:t>
      </w:r>
      <w:r>
        <w:t>具有独立承担民事责任的能力：提供有效的营业执照或事业单位法人证书或自然人身份证明等证明材料。</w:t>
      </w:r>
    </w:p>
    <w:p w14:paraId="4D72C8F0">
      <w:pPr>
        <w:spacing w:line="360" w:lineRule="auto"/>
        <w:ind w:firstLine="440" w:firstLineChars="200"/>
      </w:pPr>
      <w:r>
        <w:rPr>
          <w:rFonts w:hint="eastAsia"/>
        </w:rPr>
        <w:t>（2）</w:t>
      </w:r>
      <w:r>
        <w:t>具有良好的商业信誉和健全的财务会计制度：提供2023年度或2024年度经会计师事务所审计的财务审计报告（公司成立年限不足一年的企业应提供其基本开户银行出具的资信证明）</w:t>
      </w:r>
    </w:p>
    <w:p w14:paraId="0D74CFF3">
      <w:pPr>
        <w:spacing w:line="360" w:lineRule="auto"/>
        <w:ind w:firstLine="440" w:firstLineChars="200"/>
      </w:pPr>
      <w:r>
        <w:rPr>
          <w:rFonts w:hint="eastAsia"/>
        </w:rPr>
        <w:t>（3）</w:t>
      </w:r>
      <w:r>
        <w:t>具有履行合同所必需的设备和专业技术能力：提供相关证明材料或承诺书。</w:t>
      </w:r>
    </w:p>
    <w:p w14:paraId="3CBC3B90">
      <w:pPr>
        <w:spacing w:line="360" w:lineRule="auto"/>
        <w:ind w:firstLine="440" w:firstLineChars="200"/>
      </w:pPr>
      <w:r>
        <w:rPr>
          <w:rFonts w:hint="eastAsia"/>
        </w:rPr>
        <w:t>（4）</w:t>
      </w:r>
      <w:r>
        <w:t>有依法缴纳税收和社会保障资金的良好记录：提供2024年7月1日以来任意1个月的相关缴纳税收和社会保障资金的证明材料，依法免税或不需要缴纳税收和缴纳社会保障资金的供应商，须出具有效证明文件。</w:t>
      </w:r>
    </w:p>
    <w:p w14:paraId="5BBC6F54">
      <w:pPr>
        <w:spacing w:line="360" w:lineRule="auto"/>
        <w:ind w:firstLine="440" w:firstLineChars="200"/>
      </w:pPr>
      <w:r>
        <w:rPr>
          <w:rFonts w:hint="eastAsia"/>
        </w:rPr>
        <w:t>（</w:t>
      </w:r>
      <w:r>
        <w:t>5</w:t>
      </w:r>
      <w:r>
        <w:rPr>
          <w:rFonts w:hint="eastAsia"/>
        </w:rPr>
        <w:t>）</w:t>
      </w:r>
      <w:r>
        <w:t>参加政府采购活动前三年内，在经营活动中没有重大违法记录：提供承诺书，格式自拟。</w:t>
      </w:r>
    </w:p>
    <w:p w14:paraId="353B1620">
      <w:pPr>
        <w:spacing w:line="360" w:lineRule="auto"/>
        <w:ind w:firstLine="440" w:firstLineChars="200"/>
      </w:pPr>
      <w:r>
        <w:rPr>
          <w:rFonts w:hint="eastAsia"/>
        </w:rPr>
        <w:t>（</w:t>
      </w:r>
      <w:r>
        <w:t>6</w:t>
      </w:r>
      <w:r>
        <w:rPr>
          <w:rFonts w:hint="eastAsia"/>
        </w:rPr>
        <w:t>）供应商须具建设行政主管部门颁发的具有建筑工程施工总承包三级及以上</w:t>
      </w:r>
      <w:r>
        <w:t>资质或者建筑装修装饰工程专业承包二级或以上资质，且具有有效的安全生产许可证</w:t>
      </w:r>
      <w:r>
        <w:rPr>
          <w:rFonts w:hint="eastAsia"/>
        </w:rPr>
        <w:t>。</w:t>
      </w:r>
    </w:p>
    <w:p w14:paraId="3F41B7EF">
      <w:pPr>
        <w:spacing w:line="360" w:lineRule="auto"/>
        <w:ind w:firstLine="440" w:firstLineChars="200"/>
      </w:pPr>
      <w:r>
        <w:rPr>
          <w:rFonts w:hint="eastAsia"/>
        </w:rPr>
        <w:t>（</w:t>
      </w:r>
      <w:r>
        <w:t>7</w:t>
      </w:r>
      <w:r>
        <w:rPr>
          <w:rFonts w:hint="eastAsia"/>
        </w:rPr>
        <w:t>）</w:t>
      </w:r>
      <w:r>
        <w:t>供应商拟派项目经理须具有建筑工程专业二级（含二级）及以上注册建造师执业资格及有效的安全生产考核合格证，且未担任其他在施建设工程项目的项目经理</w:t>
      </w:r>
      <w:r>
        <w:rPr>
          <w:rFonts w:hint="eastAsia"/>
        </w:rPr>
        <w:t>。</w:t>
      </w:r>
    </w:p>
    <w:p w14:paraId="49753E74">
      <w:pPr>
        <w:spacing w:line="360" w:lineRule="auto"/>
        <w:ind w:firstLine="440" w:firstLineChars="200"/>
      </w:pPr>
      <w:r>
        <w:rPr>
          <w:rFonts w:hint="eastAsia"/>
        </w:rPr>
        <w:t>（</w:t>
      </w:r>
      <w:r>
        <w:t>8</w:t>
      </w:r>
      <w:r>
        <w:rPr>
          <w:rFonts w:hint="eastAsia"/>
        </w:rPr>
        <w:t>）</w:t>
      </w:r>
      <w:r>
        <w:t>根据《关于在政府采购活动中查询及使用信用记录有关问题的通知》（财库〔2016〕12 5号）和豫财购〔2016〕15号的规定，对列入失信被执行人名单、重大税收违法失信主体、政府采购严重违法失信行为记录名单的企业，拒绝参与本项目政府采购活动（查询渠道：“中国执行信息公开网”（zxgk.court.gov.cn/shixin/）查询：失信被执行人名单；“信用中国”网站（</w:t>
      </w:r>
      <w:r>
        <w:fldChar w:fldCharType="begin"/>
      </w:r>
      <w:r>
        <w:instrText xml:space="preserve"> HYPERLINK "http://www/" \h </w:instrText>
      </w:r>
      <w:r>
        <w:fldChar w:fldCharType="separate"/>
      </w:r>
      <w:r>
        <w:rPr>
          <w:rStyle w:val="56"/>
        </w:rPr>
        <w:t>www.</w:t>
      </w:r>
      <w:r>
        <w:rPr>
          <w:rStyle w:val="56"/>
        </w:rPr>
        <w:fldChar w:fldCharType="end"/>
      </w:r>
      <w:r>
        <w:t xml:space="preserve"> creditchina.gov.cn）查询：重大税收违法失信主体名单、“中国政府采购网”（</w:t>
      </w:r>
      <w:r>
        <w:fldChar w:fldCharType="begin"/>
      </w:r>
      <w:r>
        <w:instrText xml:space="preserve"> HYPERLINK "http://www.ccgp.gov/" \h </w:instrText>
      </w:r>
      <w:r>
        <w:fldChar w:fldCharType="separate"/>
      </w:r>
      <w:r>
        <w:rPr>
          <w:rStyle w:val="56"/>
        </w:rPr>
        <w:t>www.ccgp.gov.</w:t>
      </w:r>
      <w:r>
        <w:rPr>
          <w:rStyle w:val="56"/>
        </w:rPr>
        <w:fldChar w:fldCharType="end"/>
      </w:r>
      <w:r>
        <w:t xml:space="preserve"> cn）查询：政府采购严重违法失信行为记录名单）；注：采购代理机构在开标当天将对所有参与本项目投标的供应商信用情况进行查询、打印留存。若在开标当天查询到供应商有相关负面信息的，则该供应商为无效响应。</w:t>
      </w:r>
    </w:p>
    <w:p w14:paraId="2B47233B">
      <w:pPr>
        <w:spacing w:line="360" w:lineRule="auto"/>
        <w:ind w:firstLine="440" w:firstLineChars="200"/>
      </w:pPr>
      <w:r>
        <w:rPr>
          <w:rFonts w:hint="eastAsia"/>
        </w:rPr>
        <w:t>（</w:t>
      </w:r>
      <w:r>
        <w:t>9</w:t>
      </w:r>
      <w:r>
        <w:rPr>
          <w:rFonts w:hint="eastAsia"/>
        </w:rPr>
        <w:t>）</w:t>
      </w:r>
      <w:r>
        <w:t>单位负责人为同一人或者存在直接控股、管理关系的不同供应商，不得参加同一合同项    下的政府采购活动，供应商提供承诺书或“国家企业信用信息公示系统”网站查询结果网页截图，查询截图需显示公司基本信息、出资人或股东信息、主要人员信息。</w:t>
      </w:r>
    </w:p>
    <w:p w14:paraId="2D1A62B0">
      <w:pPr>
        <w:spacing w:line="360" w:lineRule="auto"/>
        <w:ind w:firstLine="440" w:firstLineChars="200"/>
      </w:pPr>
      <w:r>
        <w:rPr>
          <w:rFonts w:hint="eastAsia"/>
        </w:rPr>
        <w:t>（1</w:t>
      </w:r>
      <w:r>
        <w:t>0</w:t>
      </w:r>
      <w:r>
        <w:rPr>
          <w:rFonts w:hint="eastAsia"/>
        </w:rPr>
        <w:t>）</w:t>
      </w:r>
      <w:r>
        <w:t>为采购项目提供整体设计、规范编制或者项目管理、监理、检测等服务的供应商，不得再参加该采购项目的其他采购活动。提供承诺书，格式自拟。</w:t>
      </w:r>
    </w:p>
    <w:p w14:paraId="6B74620C">
      <w:pPr>
        <w:spacing w:line="360" w:lineRule="auto"/>
        <w:ind w:firstLine="440" w:firstLineChars="200"/>
      </w:pPr>
      <w:r>
        <w:rPr>
          <w:rFonts w:hint="eastAsia"/>
        </w:rPr>
        <w:t>（1</w:t>
      </w:r>
      <w:r>
        <w:t>1</w:t>
      </w:r>
      <w:r>
        <w:rPr>
          <w:rFonts w:hint="eastAsia"/>
        </w:rPr>
        <w:t>）</w:t>
      </w:r>
      <w:r>
        <w:t>根据《河南省住房和城乡建设厅关于进一步规范建设工程企业资质管理的通知》豫建行规〔2024〕7 号文件规定，被全国和河南省建筑市场监管公共服务平台标注为资质异常的，供应商不能使用标注异常的资质承揽本工程，具体要求详见通知内容，供应商提供全国建筑市场监管公共服务平台（四库一平台）和河南省建筑市场监管公共服务平台查询截图</w:t>
      </w:r>
      <w:r>
        <w:rPr>
          <w:rFonts w:hint="eastAsia"/>
        </w:rPr>
        <w:t>。</w:t>
      </w:r>
    </w:p>
    <w:p w14:paraId="5068879A">
      <w:pPr>
        <w:spacing w:line="360" w:lineRule="auto"/>
        <w:ind w:firstLine="440" w:firstLineChars="200"/>
      </w:pPr>
      <w:r>
        <w:rPr>
          <w:rFonts w:hint="eastAsia"/>
        </w:rPr>
        <w:t>（1</w:t>
      </w:r>
      <w:r>
        <w:t>2</w:t>
      </w:r>
      <w:r>
        <w:rPr>
          <w:rFonts w:hint="eastAsia"/>
        </w:rPr>
        <w:t>）</w:t>
      </w:r>
      <w:r>
        <w:t>供应商认为应附的其他资格证明材料。</w:t>
      </w:r>
    </w:p>
    <w:p w14:paraId="5B587039">
      <w:pPr>
        <w:pStyle w:val="75"/>
        <w:spacing w:line="268" w:lineRule="exact"/>
        <w:rPr>
          <w:sz w:val="21"/>
        </w:rPr>
        <w:sectPr>
          <w:pgSz w:w="11920" w:h="16850"/>
          <w:pgMar w:top="1420" w:right="992" w:bottom="1100" w:left="1133" w:header="0" w:footer="913" w:gutter="0"/>
          <w:cols w:space="720" w:num="1"/>
        </w:sectPr>
      </w:pPr>
    </w:p>
    <w:p w14:paraId="635B89EB">
      <w:pPr>
        <w:pStyle w:val="7"/>
        <w:ind w:left="283"/>
        <w:rPr>
          <w:rFonts w:ascii="宋体" w:hAnsi="宋体" w:eastAsia="宋体"/>
        </w:rPr>
      </w:pPr>
      <w:r>
        <w:rPr>
          <w:rFonts w:ascii="宋体" w:hAnsi="宋体" w:eastAsia="宋体"/>
          <w:spacing w:val="-4"/>
        </w:rPr>
        <w:t>附件：</w:t>
      </w:r>
    </w:p>
    <w:p w14:paraId="002EB434">
      <w:pPr>
        <w:pStyle w:val="7"/>
        <w:spacing w:before="147" w:line="240" w:lineRule="auto"/>
        <w:ind w:left="478" w:right="84"/>
        <w:jc w:val="center"/>
        <w:rPr>
          <w:rFonts w:ascii="宋体" w:hAnsi="宋体" w:eastAsia="宋体"/>
        </w:rPr>
      </w:pPr>
      <w:r>
        <w:rPr>
          <w:rFonts w:ascii="宋体" w:hAnsi="宋体" w:eastAsia="宋体"/>
        </w:rPr>
        <w:t>中小企业声明函（如有</w:t>
      </w:r>
      <w:r>
        <w:rPr>
          <w:rFonts w:ascii="宋体" w:hAnsi="宋体" w:eastAsia="宋体"/>
          <w:spacing w:val="-10"/>
        </w:rPr>
        <w:t>）</w:t>
      </w:r>
    </w:p>
    <w:p w14:paraId="16B2B315">
      <w:pPr>
        <w:pStyle w:val="18"/>
        <w:spacing w:before="294" w:line="439" w:lineRule="auto"/>
        <w:ind w:right="463" w:firstLine="420"/>
      </w:pPr>
      <w:r>
        <w:rPr>
          <w:spacing w:val="-2"/>
        </w:rPr>
        <w:t>本公司（联合体）郑重声明，根据《政府采购促进中小企业发展管理办法》（财库﹝2020﹞46</w:t>
      </w:r>
      <w:r>
        <w:rPr>
          <w:spacing w:val="-4"/>
        </w:rPr>
        <w:t>号）的规定，本公司（联合体）参加</w:t>
      </w:r>
      <w:r>
        <w:rPr>
          <w:spacing w:val="-4"/>
          <w:sz w:val="22"/>
          <w:u w:val="single"/>
        </w:rPr>
        <w:t>（单位名称）</w:t>
      </w:r>
      <w:r>
        <w:rPr>
          <w:spacing w:val="-4"/>
        </w:rPr>
        <w:t>的</w:t>
      </w:r>
      <w:r>
        <w:rPr>
          <w:spacing w:val="-4"/>
          <w:sz w:val="22"/>
          <w:u w:val="single"/>
        </w:rPr>
        <w:t>（项目名称）</w:t>
      </w:r>
      <w:r>
        <w:rPr>
          <w:spacing w:val="-5"/>
        </w:rPr>
        <w:t>采购活动，工程的施工单位全部</w:t>
      </w:r>
    </w:p>
    <w:p w14:paraId="7AF0970D">
      <w:pPr>
        <w:pStyle w:val="18"/>
        <w:spacing w:line="446" w:lineRule="auto"/>
        <w:ind w:right="462"/>
      </w:pPr>
      <w:r>
        <w:rPr>
          <w:spacing w:val="-2"/>
        </w:rPr>
        <w:t>为符合政策要求的中小企业。相关企业（含联合体中的中小企业、签订分包意向协议的中小企业）的具体情况如下：</w:t>
      </w:r>
    </w:p>
    <w:p w14:paraId="0046D959">
      <w:pPr>
        <w:pStyle w:val="75"/>
        <w:numPr>
          <w:ilvl w:val="0"/>
          <w:numId w:val="8"/>
        </w:numPr>
        <w:tabs>
          <w:tab w:val="left" w:pos="913"/>
        </w:tabs>
        <w:spacing w:line="272" w:lineRule="exact"/>
        <w:ind w:left="913" w:hanging="210"/>
      </w:pPr>
      <w:r>
        <w:rPr>
          <w:spacing w:val="76"/>
          <w:u w:val="single"/>
        </w:rPr>
        <w:t xml:space="preserve"> </w:t>
      </w:r>
      <w:r>
        <w:rPr>
          <w:spacing w:val="-8"/>
          <w:u w:val="single"/>
        </w:rPr>
        <w:t>（标的名称）</w:t>
      </w:r>
      <w:r>
        <w:rPr>
          <w:spacing w:val="14"/>
          <w:u w:val="single"/>
        </w:rPr>
        <w:t xml:space="preserve"> </w:t>
      </w:r>
      <w:r>
        <w:rPr>
          <w:spacing w:val="-8"/>
          <w:sz w:val="21"/>
        </w:rPr>
        <w:t>，属于</w:t>
      </w:r>
      <w:r>
        <w:rPr>
          <w:spacing w:val="-8"/>
          <w:u w:val="single"/>
        </w:rPr>
        <w:t>（采购文件中明确的所属行业）</w:t>
      </w:r>
      <w:r>
        <w:rPr>
          <w:spacing w:val="-8"/>
          <w:sz w:val="21"/>
        </w:rPr>
        <w:t>行业；承建（承接）企业为</w:t>
      </w:r>
      <w:r>
        <w:rPr>
          <w:spacing w:val="-8"/>
          <w:u w:val="single"/>
        </w:rPr>
        <w:t>（</w:t>
      </w:r>
      <w:r>
        <w:rPr>
          <w:spacing w:val="-9"/>
          <w:u w:val="single"/>
        </w:rPr>
        <w:t>企业名</w:t>
      </w:r>
    </w:p>
    <w:p w14:paraId="134840A4">
      <w:pPr>
        <w:tabs>
          <w:tab w:val="left" w:pos="2068"/>
          <w:tab w:val="left" w:pos="3855"/>
          <w:tab w:val="left" w:pos="5849"/>
        </w:tabs>
        <w:spacing w:before="211"/>
        <w:ind w:left="283"/>
      </w:pPr>
      <w:r>
        <w:rPr>
          <w:spacing w:val="-4"/>
          <w:u w:val="single"/>
        </w:rPr>
        <w:t>称）</w:t>
      </w:r>
      <w:r>
        <w:rPr>
          <w:spacing w:val="-4"/>
          <w:sz w:val="21"/>
        </w:rPr>
        <w:t>，从业人</w:t>
      </w:r>
      <w:r>
        <w:rPr>
          <w:spacing w:val="-12"/>
          <w:sz w:val="21"/>
        </w:rPr>
        <w:t>员</w:t>
      </w:r>
      <w:r>
        <w:rPr>
          <w:sz w:val="21"/>
          <w:u w:val="single"/>
        </w:rPr>
        <w:tab/>
      </w:r>
      <w:r>
        <w:rPr>
          <w:spacing w:val="-2"/>
          <w:sz w:val="21"/>
        </w:rPr>
        <w:t>人，营业收入</w:t>
      </w:r>
      <w:r>
        <w:rPr>
          <w:spacing w:val="-10"/>
          <w:sz w:val="21"/>
        </w:rPr>
        <w:t>为</w:t>
      </w:r>
      <w:r>
        <w:rPr>
          <w:sz w:val="21"/>
          <w:u w:val="single"/>
        </w:rPr>
        <w:tab/>
      </w:r>
      <w:r>
        <w:rPr>
          <w:spacing w:val="-2"/>
          <w:sz w:val="21"/>
        </w:rPr>
        <w:t>万元，资产总额</w:t>
      </w:r>
      <w:r>
        <w:rPr>
          <w:spacing w:val="-10"/>
          <w:sz w:val="21"/>
        </w:rPr>
        <w:t>为</w:t>
      </w:r>
      <w:r>
        <w:rPr>
          <w:sz w:val="21"/>
          <w:u w:val="single"/>
        </w:rPr>
        <w:tab/>
      </w:r>
      <w:r>
        <w:rPr>
          <w:spacing w:val="-8"/>
          <w:sz w:val="21"/>
        </w:rPr>
        <w:t>万元</w:t>
      </w:r>
      <w:r>
        <w:rPr>
          <w:spacing w:val="-34"/>
          <w:sz w:val="21"/>
        </w:rPr>
        <w:t xml:space="preserve"> </w:t>
      </w:r>
      <w:r>
        <w:rPr>
          <w:spacing w:val="-8"/>
          <w:position w:val="11"/>
          <w:sz w:val="11"/>
        </w:rPr>
        <w:t>1</w:t>
      </w:r>
      <w:r>
        <w:rPr>
          <w:spacing w:val="-8"/>
          <w:sz w:val="21"/>
        </w:rPr>
        <w:t>，属于</w:t>
      </w:r>
      <w:r>
        <w:rPr>
          <w:spacing w:val="-8"/>
          <w:u w:val="single"/>
        </w:rPr>
        <w:t>（中型企业、小型企业</w:t>
      </w:r>
      <w:r>
        <w:rPr>
          <w:spacing w:val="-10"/>
          <w:u w:val="single"/>
        </w:rPr>
        <w:t>、</w:t>
      </w:r>
    </w:p>
    <w:p w14:paraId="27D6F429">
      <w:pPr>
        <w:pStyle w:val="9"/>
        <w:spacing w:before="217"/>
        <w:rPr>
          <w:sz w:val="21"/>
        </w:rPr>
      </w:pPr>
      <w:r>
        <w:rPr>
          <w:spacing w:val="-10"/>
          <w:u w:val="single"/>
        </w:rPr>
        <w:t>微型企业）</w:t>
      </w:r>
      <w:r>
        <w:rPr>
          <w:spacing w:val="-10"/>
          <w:sz w:val="21"/>
        </w:rPr>
        <w:t>；</w:t>
      </w:r>
    </w:p>
    <w:p w14:paraId="1763EDBB">
      <w:pPr>
        <w:pStyle w:val="75"/>
        <w:numPr>
          <w:ilvl w:val="0"/>
          <w:numId w:val="8"/>
        </w:numPr>
        <w:tabs>
          <w:tab w:val="left" w:pos="913"/>
        </w:tabs>
        <w:spacing w:before="220"/>
        <w:ind w:left="913" w:hanging="210"/>
      </w:pPr>
      <w:r>
        <w:rPr>
          <w:spacing w:val="76"/>
          <w:u w:val="single"/>
        </w:rPr>
        <w:t xml:space="preserve"> </w:t>
      </w:r>
      <w:r>
        <w:rPr>
          <w:spacing w:val="-8"/>
          <w:u w:val="single"/>
        </w:rPr>
        <w:t>（标的名称）</w:t>
      </w:r>
      <w:r>
        <w:rPr>
          <w:spacing w:val="14"/>
          <w:u w:val="single"/>
        </w:rPr>
        <w:t xml:space="preserve"> </w:t>
      </w:r>
      <w:r>
        <w:rPr>
          <w:spacing w:val="-8"/>
          <w:sz w:val="21"/>
        </w:rPr>
        <w:t>，属于</w:t>
      </w:r>
      <w:r>
        <w:rPr>
          <w:spacing w:val="-8"/>
          <w:u w:val="single"/>
        </w:rPr>
        <w:t>（采购文件中明确的所属行业）</w:t>
      </w:r>
      <w:r>
        <w:rPr>
          <w:spacing w:val="-8"/>
          <w:sz w:val="21"/>
        </w:rPr>
        <w:t>行业；承建（承接）企业为</w:t>
      </w:r>
      <w:r>
        <w:rPr>
          <w:spacing w:val="-8"/>
          <w:u w:val="single"/>
        </w:rPr>
        <w:t>（</w:t>
      </w:r>
      <w:r>
        <w:rPr>
          <w:spacing w:val="-9"/>
          <w:u w:val="single"/>
        </w:rPr>
        <w:t>企业名</w:t>
      </w:r>
    </w:p>
    <w:p w14:paraId="28F7D0DC">
      <w:pPr>
        <w:tabs>
          <w:tab w:val="left" w:pos="2068"/>
          <w:tab w:val="left" w:pos="3855"/>
          <w:tab w:val="left" w:pos="5849"/>
        </w:tabs>
        <w:spacing w:before="217"/>
        <w:ind w:left="283"/>
      </w:pPr>
      <w:r>
        <w:rPr>
          <w:spacing w:val="-4"/>
          <w:u w:val="single"/>
        </w:rPr>
        <w:t>称）</w:t>
      </w:r>
      <w:r>
        <w:rPr>
          <w:spacing w:val="-4"/>
          <w:sz w:val="21"/>
        </w:rPr>
        <w:t>，从业人</w:t>
      </w:r>
      <w:r>
        <w:rPr>
          <w:spacing w:val="-12"/>
          <w:sz w:val="21"/>
        </w:rPr>
        <w:t>员</w:t>
      </w:r>
      <w:r>
        <w:rPr>
          <w:sz w:val="21"/>
          <w:u w:val="single"/>
        </w:rPr>
        <w:tab/>
      </w:r>
      <w:r>
        <w:rPr>
          <w:spacing w:val="-2"/>
          <w:sz w:val="21"/>
        </w:rPr>
        <w:t>人，营业收入</w:t>
      </w:r>
      <w:r>
        <w:rPr>
          <w:spacing w:val="-10"/>
          <w:sz w:val="21"/>
        </w:rPr>
        <w:t>为</w:t>
      </w:r>
      <w:r>
        <w:rPr>
          <w:sz w:val="21"/>
          <w:u w:val="single"/>
        </w:rPr>
        <w:tab/>
      </w:r>
      <w:r>
        <w:rPr>
          <w:spacing w:val="-2"/>
          <w:sz w:val="21"/>
        </w:rPr>
        <w:t>万元，资产总额</w:t>
      </w:r>
      <w:r>
        <w:rPr>
          <w:spacing w:val="-10"/>
          <w:sz w:val="21"/>
        </w:rPr>
        <w:t>为</w:t>
      </w:r>
      <w:r>
        <w:rPr>
          <w:sz w:val="21"/>
          <w:u w:val="single"/>
        </w:rPr>
        <w:tab/>
      </w:r>
      <w:r>
        <w:rPr>
          <w:spacing w:val="-8"/>
          <w:sz w:val="21"/>
        </w:rPr>
        <w:t>万元，属于</w:t>
      </w:r>
      <w:r>
        <w:rPr>
          <w:spacing w:val="-8"/>
          <w:u w:val="single"/>
        </w:rPr>
        <w:t>（中型企业、小型企业</w:t>
      </w:r>
      <w:r>
        <w:rPr>
          <w:spacing w:val="-10"/>
          <w:u w:val="single"/>
        </w:rPr>
        <w:t>、</w:t>
      </w:r>
    </w:p>
    <w:p w14:paraId="5F78C74F">
      <w:pPr>
        <w:pStyle w:val="9"/>
        <w:spacing w:before="217"/>
        <w:rPr>
          <w:sz w:val="21"/>
        </w:rPr>
      </w:pPr>
      <w:r>
        <w:rPr>
          <w:spacing w:val="-10"/>
          <w:u w:val="single"/>
        </w:rPr>
        <w:t>微型企业）</w:t>
      </w:r>
      <w:r>
        <w:rPr>
          <w:spacing w:val="-10"/>
          <w:sz w:val="21"/>
        </w:rPr>
        <w:t>；</w:t>
      </w:r>
    </w:p>
    <w:p w14:paraId="021CE6E0">
      <w:pPr>
        <w:spacing w:before="230"/>
        <w:ind w:left="703"/>
        <w:rPr>
          <w:sz w:val="21"/>
        </w:rPr>
      </w:pPr>
      <w:r>
        <w:rPr>
          <w:spacing w:val="-5"/>
          <w:sz w:val="21"/>
        </w:rPr>
        <w:t>……</w:t>
      </w:r>
    </w:p>
    <w:p w14:paraId="54BA5A07">
      <w:pPr>
        <w:pStyle w:val="9"/>
        <w:spacing w:before="40" w:line="364" w:lineRule="auto"/>
        <w:ind w:right="481" w:firstLine="439"/>
      </w:pPr>
      <w:r>
        <w:rPr>
          <w:spacing w:val="-2"/>
        </w:rPr>
        <w:t>以上企业，不属于大企业的分支机构，不存在控股股东为大企业的情形，也不存在与大企业的负责人为同一人的情形。</w:t>
      </w:r>
    </w:p>
    <w:p w14:paraId="1006D564">
      <w:pPr>
        <w:pStyle w:val="9"/>
        <w:ind w:left="722"/>
      </w:pPr>
      <w:r>
        <w:rPr>
          <w:spacing w:val="-3"/>
        </w:rPr>
        <w:t>本企业对上述声明内容的真实性负责。如有虚假，将依法承担相应责任。</w:t>
      </w:r>
    </w:p>
    <w:p w14:paraId="3900F5BB">
      <w:pPr>
        <w:pStyle w:val="18"/>
        <w:spacing w:before="272"/>
        <w:ind w:left="0"/>
        <w:rPr>
          <w:sz w:val="22"/>
        </w:rPr>
      </w:pPr>
    </w:p>
    <w:p w14:paraId="430461E7">
      <w:pPr>
        <w:pStyle w:val="9"/>
        <w:spacing w:line="364" w:lineRule="auto"/>
        <w:ind w:left="4683" w:right="3118"/>
      </w:pPr>
      <w:r>
        <w:rPr>
          <w:spacing w:val="-2"/>
        </w:rPr>
        <w:t>企业名称（盖章）：</w:t>
      </w:r>
      <w:r>
        <w:rPr>
          <w:spacing w:val="-4"/>
        </w:rPr>
        <w:t>日期：</w:t>
      </w:r>
    </w:p>
    <w:p w14:paraId="474DD7E4">
      <w:pPr>
        <w:pStyle w:val="9"/>
        <w:spacing w:line="364" w:lineRule="auto"/>
        <w:ind w:right="508" w:firstLine="439"/>
      </w:pPr>
    </w:p>
    <w:p w14:paraId="1CA7E3B7">
      <w:pPr>
        <w:pStyle w:val="9"/>
        <w:spacing w:line="364" w:lineRule="auto"/>
        <w:ind w:right="508" w:firstLine="439"/>
      </w:pPr>
      <w:r>
        <w:t>说明：1、</w:t>
      </w:r>
      <w:r>
        <w:rPr>
          <w:position w:val="11"/>
          <w:sz w:val="11"/>
        </w:rPr>
        <w:t>1</w:t>
      </w:r>
      <w:r>
        <w:rPr>
          <w:spacing w:val="-29"/>
          <w:position w:val="11"/>
          <w:sz w:val="11"/>
        </w:rPr>
        <w:t xml:space="preserve"> </w:t>
      </w:r>
      <w:r>
        <w:t>从业人员、营业收入、资产总额填报上一年度数据，无上一年度数据的新成立</w:t>
      </w:r>
      <w:r>
        <w:rPr>
          <w:spacing w:val="-2"/>
        </w:rPr>
        <w:t>企业可不填报。</w:t>
      </w:r>
    </w:p>
    <w:p w14:paraId="1FCC0A2E">
      <w:pPr>
        <w:pStyle w:val="8"/>
        <w:spacing w:line="332" w:lineRule="exact"/>
        <w:ind w:left="705"/>
        <w:rPr>
          <w:rFonts w:ascii="宋体" w:hAnsi="宋体" w:eastAsia="宋体"/>
          <w:spacing w:val="-5"/>
        </w:rPr>
      </w:pPr>
      <w:r>
        <w:rPr>
          <w:rFonts w:ascii="宋体" w:hAnsi="宋体" w:eastAsia="宋体"/>
          <w:spacing w:val="-2"/>
          <w:sz w:val="21"/>
        </w:rPr>
        <w:t>2、</w:t>
      </w:r>
      <w:r>
        <w:rPr>
          <w:rFonts w:ascii="宋体" w:hAnsi="宋体" w:eastAsia="宋体"/>
          <w:spacing w:val="-3"/>
        </w:rPr>
        <w:t>供应商属于中小微企业的填写，不属于的无需填写此项内容</w:t>
      </w:r>
      <w:r>
        <w:rPr>
          <w:rFonts w:ascii="宋体" w:hAnsi="宋体" w:eastAsia="宋体"/>
          <w:spacing w:val="-5"/>
        </w:rPr>
        <w:t>。</w:t>
      </w:r>
    </w:p>
    <w:p w14:paraId="71D5821A">
      <w:pPr>
        <w:pStyle w:val="8"/>
        <w:spacing w:before="25" w:line="254" w:lineRule="auto"/>
        <w:ind w:right="144" w:firstLine="441"/>
        <w:rPr>
          <w:rFonts w:ascii="宋体" w:hAnsi="宋体" w:eastAsia="宋体"/>
        </w:rPr>
      </w:pPr>
      <w:r>
        <w:rPr>
          <w:rFonts w:ascii="宋体" w:hAnsi="宋体" w:eastAsia="宋体"/>
          <w:spacing w:val="4"/>
        </w:rPr>
        <w:t>3、成交供应商为中型、小型、微型企业的，随成交公告同时公告其《中小企业声明函》，</w:t>
      </w:r>
      <w:r>
        <w:rPr>
          <w:rFonts w:ascii="宋体" w:hAnsi="宋体" w:eastAsia="宋体"/>
        </w:rPr>
        <w:t>接受社会监督。</w:t>
      </w:r>
    </w:p>
    <w:p w14:paraId="15D8C81A">
      <w:pPr>
        <w:pStyle w:val="8"/>
        <w:spacing w:line="254" w:lineRule="auto"/>
        <w:rPr>
          <w:rFonts w:ascii="宋体" w:hAnsi="宋体" w:eastAsia="宋体"/>
        </w:rPr>
        <w:sectPr>
          <w:pgSz w:w="11920" w:h="16850"/>
          <w:pgMar w:top="1420" w:right="992" w:bottom="1100" w:left="1133" w:header="0" w:footer="913" w:gutter="0"/>
          <w:cols w:space="720" w:num="1"/>
        </w:sectPr>
      </w:pPr>
    </w:p>
    <w:p w14:paraId="5E2FFA0A">
      <w:pPr>
        <w:pStyle w:val="7"/>
        <w:ind w:left="437" w:right="84"/>
        <w:jc w:val="center"/>
        <w:rPr>
          <w:rFonts w:ascii="宋体" w:hAnsi="宋体" w:eastAsia="宋体"/>
        </w:rPr>
      </w:pPr>
      <w:r>
        <w:rPr>
          <w:rFonts w:ascii="宋体" w:hAnsi="宋体" w:eastAsia="宋体"/>
        </w:rPr>
        <w:t>残疾人福利性单位声明函（如有</w:t>
      </w:r>
      <w:r>
        <w:rPr>
          <w:rFonts w:ascii="宋体" w:hAnsi="宋体" w:eastAsia="宋体"/>
          <w:spacing w:val="-10"/>
        </w:rPr>
        <w:t>）</w:t>
      </w:r>
    </w:p>
    <w:p w14:paraId="4248E347">
      <w:pPr>
        <w:pStyle w:val="18"/>
        <w:ind w:left="0"/>
        <w:rPr>
          <w:b/>
          <w:sz w:val="24"/>
        </w:rPr>
      </w:pPr>
    </w:p>
    <w:p w14:paraId="717A5398">
      <w:pPr>
        <w:pStyle w:val="18"/>
        <w:spacing w:before="69"/>
        <w:ind w:left="0"/>
        <w:rPr>
          <w:b/>
          <w:sz w:val="24"/>
        </w:rPr>
      </w:pPr>
    </w:p>
    <w:p w14:paraId="62DBBD32">
      <w:pPr>
        <w:pStyle w:val="18"/>
        <w:spacing w:line="525" w:lineRule="auto"/>
        <w:ind w:right="319" w:firstLine="420"/>
      </w:pPr>
      <w:r>
        <w:t>本单位郑重声明，根据《财政部 民政部 中国残疾人联合会关于促进残疾人就业政府采购政策</w:t>
      </w:r>
      <w:r>
        <w:rPr>
          <w:spacing w:val="-2"/>
        </w:rPr>
        <w:t>的通知》（财库〔2017〕141号）的规定，本单位为符合条件的残疾人福利性单位，且本单位参加</w:t>
      </w:r>
      <w:r>
        <w:rPr>
          <w:spacing w:val="80"/>
          <w:u w:val="single"/>
        </w:rPr>
        <w:t xml:space="preserve"> </w:t>
      </w:r>
    </w:p>
    <w:p w14:paraId="60B9F908">
      <w:pPr>
        <w:pStyle w:val="18"/>
        <w:tabs>
          <w:tab w:val="left" w:pos="1860"/>
        </w:tabs>
        <w:spacing w:line="267" w:lineRule="exact"/>
      </w:pPr>
      <w:r>
        <w:t>单位</w:t>
      </w:r>
      <w:r>
        <w:rPr>
          <w:spacing w:val="-10"/>
        </w:rPr>
        <w:t>的</w:t>
      </w:r>
      <w:r>
        <w:rPr>
          <w:u w:val="single"/>
        </w:rPr>
        <w:tab/>
      </w:r>
      <w:r>
        <w:rPr>
          <w:spacing w:val="-2"/>
        </w:rPr>
        <w:t>项目采购活动提供本单位制造的货物（由本单位承担工程/提供服务），或者提</w:t>
      </w:r>
      <w:r>
        <w:rPr>
          <w:spacing w:val="-10"/>
        </w:rPr>
        <w:t>供</w:t>
      </w:r>
    </w:p>
    <w:p w14:paraId="14BBA450">
      <w:pPr>
        <w:pStyle w:val="18"/>
        <w:spacing w:before="49"/>
        <w:ind w:left="0"/>
      </w:pPr>
    </w:p>
    <w:p w14:paraId="20AB080A">
      <w:pPr>
        <w:pStyle w:val="18"/>
        <w:spacing w:before="1" w:line="525" w:lineRule="auto"/>
        <w:ind w:left="703" w:right="1303" w:hanging="420"/>
      </w:pPr>
      <w:r>
        <w:rPr>
          <w:spacing w:val="-2"/>
        </w:rPr>
        <w:t>其他残疾人福利性单位制造的货物（不包括使用非残疾人福利性单位注册商标的货物）。本单位对上述声明的真实性负责。如有虚假，将依法承担相应责任。</w:t>
      </w:r>
    </w:p>
    <w:p w14:paraId="196A0509">
      <w:pPr>
        <w:pStyle w:val="18"/>
        <w:ind w:left="0"/>
      </w:pPr>
    </w:p>
    <w:p w14:paraId="699B9954">
      <w:pPr>
        <w:pStyle w:val="18"/>
        <w:ind w:left="0"/>
      </w:pPr>
    </w:p>
    <w:p w14:paraId="5DB9715D">
      <w:pPr>
        <w:pStyle w:val="18"/>
        <w:ind w:left="0"/>
      </w:pPr>
    </w:p>
    <w:p w14:paraId="4E849430">
      <w:pPr>
        <w:pStyle w:val="18"/>
        <w:spacing w:before="97"/>
        <w:ind w:left="0"/>
      </w:pPr>
    </w:p>
    <w:p w14:paraId="3DFBBF74">
      <w:pPr>
        <w:pStyle w:val="18"/>
        <w:spacing w:line="525" w:lineRule="auto"/>
        <w:ind w:left="4229" w:right="3768" w:hanging="106"/>
      </w:pPr>
      <w:r>
        <w:rPr>
          <w:spacing w:val="-2"/>
        </w:rPr>
        <w:t>单位名称（盖章）：</w:t>
      </w:r>
      <w:r>
        <w:rPr>
          <w:spacing w:val="9"/>
        </w:rPr>
        <w:t>日 期：</w:t>
      </w:r>
    </w:p>
    <w:p w14:paraId="19B55D60">
      <w:pPr>
        <w:pStyle w:val="9"/>
        <w:spacing w:before="168" w:line="364" w:lineRule="auto"/>
        <w:ind w:right="145" w:firstLine="439"/>
      </w:pPr>
      <w:r>
        <w:rPr>
          <w:spacing w:val="-2"/>
        </w:rPr>
        <w:t>提醒：1、如果供应商不是残疾人福利性单位，则不需要提供《残疾人福利性单位声明函》。否则，因此导致虚假投标的后果由供应商自行承担。）</w:t>
      </w:r>
    </w:p>
    <w:p w14:paraId="29B18F07">
      <w:pPr>
        <w:pStyle w:val="9"/>
        <w:spacing w:line="364" w:lineRule="auto"/>
        <w:ind w:right="367" w:firstLine="439"/>
      </w:pPr>
      <w:r>
        <w:rPr>
          <w:spacing w:val="-2"/>
        </w:rPr>
        <w:t>2、供应商属于残疾人福利性单位的填写，不属于的无需填写此项内容。</w:t>
      </w:r>
    </w:p>
    <w:p w14:paraId="7D6EFCD6">
      <w:pPr>
        <w:pStyle w:val="8"/>
        <w:spacing w:line="329" w:lineRule="exact"/>
        <w:ind w:left="722"/>
        <w:rPr>
          <w:rFonts w:ascii="宋体" w:hAnsi="宋体" w:eastAsia="宋体"/>
        </w:rPr>
      </w:pPr>
      <w:r>
        <w:rPr>
          <w:rFonts w:ascii="宋体" w:hAnsi="宋体" w:eastAsia="宋体"/>
          <w:b w:val="0"/>
        </w:rPr>
        <w:t>3、</w:t>
      </w:r>
      <w:r>
        <w:rPr>
          <w:rFonts w:ascii="宋体" w:hAnsi="宋体" w:eastAsia="宋体"/>
          <w:spacing w:val="-1"/>
        </w:rPr>
        <w:t>成交供应商为残疾人福利性单位的，随成交公告同时公告其《残疾人福利性单位声明</w:t>
      </w:r>
    </w:p>
    <w:p w14:paraId="2510806E">
      <w:pPr>
        <w:pStyle w:val="8"/>
        <w:spacing w:before="25"/>
        <w:rPr>
          <w:rFonts w:ascii="宋体" w:hAnsi="宋体" w:eastAsia="宋体"/>
        </w:rPr>
      </w:pPr>
      <w:r>
        <w:rPr>
          <w:rFonts w:ascii="宋体" w:hAnsi="宋体" w:eastAsia="宋体"/>
          <w:spacing w:val="-1"/>
        </w:rPr>
        <w:t>函》，接受社会监督。</w:t>
      </w:r>
    </w:p>
    <w:p w14:paraId="6F485A17">
      <w:pPr>
        <w:pStyle w:val="8"/>
        <w:rPr>
          <w:rFonts w:ascii="宋体" w:hAnsi="宋体" w:eastAsia="宋体"/>
        </w:rPr>
        <w:sectPr>
          <w:pgSz w:w="11920" w:h="16850"/>
          <w:pgMar w:top="1540" w:right="992" w:bottom="1100" w:left="1133" w:header="0" w:footer="913" w:gutter="0"/>
          <w:cols w:space="720" w:num="1"/>
        </w:sectPr>
      </w:pPr>
    </w:p>
    <w:p w14:paraId="57E0F960">
      <w:pPr>
        <w:pStyle w:val="7"/>
        <w:ind w:right="83"/>
        <w:jc w:val="center"/>
        <w:rPr>
          <w:rFonts w:ascii="宋体" w:hAnsi="宋体" w:eastAsia="宋体"/>
        </w:rPr>
      </w:pPr>
      <w:r>
        <w:rPr>
          <w:rFonts w:ascii="宋体" w:hAnsi="宋体" w:eastAsia="宋体"/>
        </w:rPr>
        <w:t>监狱企业证明文件（如有</w:t>
      </w:r>
      <w:r>
        <w:rPr>
          <w:rFonts w:ascii="宋体" w:hAnsi="宋体" w:eastAsia="宋体"/>
          <w:spacing w:val="-10"/>
        </w:rPr>
        <w:t>）</w:t>
      </w:r>
    </w:p>
    <w:p w14:paraId="6CE4179B">
      <w:pPr>
        <w:pStyle w:val="18"/>
        <w:spacing w:before="107"/>
        <w:ind w:left="703"/>
      </w:pPr>
      <w:r>
        <w:rPr>
          <w:spacing w:val="-2"/>
        </w:rPr>
        <w:t>省级以上监狱管理局、戒毒管理局（含新疆生产建设兵团）</w:t>
      </w:r>
      <w:r>
        <w:rPr>
          <w:spacing w:val="-3"/>
        </w:rPr>
        <w:t>出具的属于监狱企业的证明文件。</w:t>
      </w:r>
    </w:p>
    <w:p w14:paraId="1D3442BC">
      <w:pPr>
        <w:pStyle w:val="18"/>
        <w:ind w:left="0"/>
      </w:pPr>
    </w:p>
    <w:p w14:paraId="00E7CD6C">
      <w:pPr>
        <w:pStyle w:val="18"/>
        <w:spacing w:before="183"/>
        <w:ind w:left="0"/>
      </w:pPr>
    </w:p>
    <w:p w14:paraId="4F7D2737">
      <w:pPr>
        <w:pStyle w:val="9"/>
        <w:spacing w:line="376" w:lineRule="auto"/>
        <w:ind w:right="475" w:firstLine="441"/>
      </w:pPr>
      <w:r>
        <w:rPr>
          <w:b/>
          <w:spacing w:val="-2"/>
        </w:rPr>
        <w:t>说明：</w:t>
      </w:r>
      <w:r>
        <w:rPr>
          <w:spacing w:val="-2"/>
        </w:rPr>
        <w:t>供应商属于监狱企业的附相关证明文件，不属于的无需填写此项内容。</w:t>
      </w:r>
    </w:p>
    <w:p w14:paraId="6C5753A8">
      <w:pPr>
        <w:pStyle w:val="9"/>
        <w:spacing w:line="376" w:lineRule="auto"/>
        <w:sectPr>
          <w:pgSz w:w="11920" w:h="16850"/>
          <w:pgMar w:top="1420" w:right="992" w:bottom="1100" w:left="1133" w:header="0" w:footer="913" w:gutter="0"/>
          <w:cols w:space="720" w:num="1"/>
        </w:sectPr>
      </w:pPr>
    </w:p>
    <w:p w14:paraId="70CF30D4">
      <w:pPr>
        <w:pStyle w:val="5"/>
        <w:rPr>
          <w:rFonts w:ascii="宋体" w:hAnsi="宋体" w:eastAsia="宋体"/>
        </w:rPr>
      </w:pPr>
      <w:bookmarkStart w:id="553" w:name="六、施工组织设计"/>
      <w:bookmarkEnd w:id="553"/>
      <w:r>
        <w:rPr>
          <w:rFonts w:ascii="宋体" w:hAnsi="宋体" w:eastAsia="宋体"/>
          <w:spacing w:val="-2"/>
        </w:rPr>
        <w:t>六、施工组织设计</w:t>
      </w:r>
    </w:p>
    <w:p w14:paraId="25BBEB21">
      <w:pPr>
        <w:pStyle w:val="18"/>
        <w:spacing w:before="78"/>
        <w:ind w:left="0"/>
        <w:rPr>
          <w:b/>
          <w:sz w:val="28"/>
        </w:rPr>
      </w:pPr>
    </w:p>
    <w:p w14:paraId="11FCA8A2">
      <w:pPr>
        <w:pStyle w:val="18"/>
        <w:ind w:left="0" w:right="83"/>
        <w:jc w:val="center"/>
      </w:pPr>
      <w:r>
        <w:rPr>
          <w:spacing w:val="-2"/>
        </w:rPr>
        <w:t>（供应商需根据自身情况结合评分办法技术标拟定针对本项目的施工组织设计</w:t>
      </w:r>
      <w:r>
        <w:rPr>
          <w:spacing w:val="-10"/>
        </w:rPr>
        <w:t>）</w:t>
      </w:r>
    </w:p>
    <w:p w14:paraId="52CE58F8">
      <w:pPr>
        <w:pStyle w:val="18"/>
        <w:jc w:val="center"/>
        <w:sectPr>
          <w:pgSz w:w="11920" w:h="16850"/>
          <w:pgMar w:top="1420" w:right="992" w:bottom="1100" w:left="1133" w:header="0" w:footer="913" w:gutter="0"/>
          <w:cols w:space="720" w:num="1"/>
        </w:sectPr>
      </w:pPr>
    </w:p>
    <w:p w14:paraId="4327A473">
      <w:pPr>
        <w:pStyle w:val="5"/>
        <w:rPr>
          <w:rFonts w:ascii="宋体" w:hAnsi="宋体" w:eastAsia="宋体"/>
        </w:rPr>
      </w:pPr>
      <w:bookmarkStart w:id="554" w:name="七、项目管理机构"/>
      <w:bookmarkEnd w:id="554"/>
      <w:r>
        <w:rPr>
          <w:rFonts w:ascii="宋体" w:hAnsi="宋体" w:eastAsia="宋体"/>
          <w:spacing w:val="-2"/>
        </w:rPr>
        <w:t>七、项目管理机构</w:t>
      </w:r>
    </w:p>
    <w:p w14:paraId="592C654E">
      <w:pPr>
        <w:pStyle w:val="8"/>
        <w:spacing w:before="52"/>
        <w:ind w:left="437" w:right="84"/>
        <w:jc w:val="center"/>
        <w:rPr>
          <w:rFonts w:ascii="宋体" w:hAnsi="宋体" w:eastAsia="宋体"/>
        </w:rPr>
      </w:pPr>
      <w:r>
        <w:rPr>
          <w:rFonts w:ascii="宋体" w:hAnsi="宋体" w:eastAsia="宋体"/>
          <w:spacing w:val="-2"/>
        </w:rPr>
        <w:t>项目管理机构组成表</w:t>
      </w:r>
    </w:p>
    <w:tbl>
      <w:tblPr>
        <w:tblStyle w:val="46"/>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133"/>
        <w:gridCol w:w="1136"/>
        <w:gridCol w:w="1135"/>
        <w:gridCol w:w="1234"/>
        <w:gridCol w:w="1030"/>
        <w:gridCol w:w="1133"/>
        <w:gridCol w:w="1136"/>
        <w:gridCol w:w="1136"/>
      </w:tblGrid>
      <w:tr w14:paraId="46CC76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8" w:hRule="atLeast"/>
          <w:jc w:val="center"/>
        </w:trPr>
        <w:tc>
          <w:tcPr>
            <w:tcW w:w="1133" w:type="dxa"/>
            <w:vMerge w:val="restart"/>
            <w:vAlign w:val="center"/>
          </w:tcPr>
          <w:p w14:paraId="0C2B371F">
            <w:pPr>
              <w:jc w:val="center"/>
              <w:rPr>
                <w:sz w:val="21"/>
              </w:rPr>
            </w:pPr>
            <w:r>
              <w:rPr>
                <w:sz w:val="21"/>
              </w:rPr>
              <w:t>序号</w:t>
            </w:r>
          </w:p>
        </w:tc>
        <w:tc>
          <w:tcPr>
            <w:tcW w:w="1136" w:type="dxa"/>
            <w:vMerge w:val="restart"/>
            <w:vAlign w:val="center"/>
          </w:tcPr>
          <w:p w14:paraId="75BA1B87">
            <w:pPr>
              <w:jc w:val="center"/>
              <w:rPr>
                <w:sz w:val="21"/>
              </w:rPr>
            </w:pPr>
            <w:r>
              <w:rPr>
                <w:sz w:val="21"/>
              </w:rPr>
              <w:t>姓名</w:t>
            </w:r>
          </w:p>
        </w:tc>
        <w:tc>
          <w:tcPr>
            <w:tcW w:w="1135" w:type="dxa"/>
            <w:vMerge w:val="restart"/>
            <w:vAlign w:val="center"/>
          </w:tcPr>
          <w:p w14:paraId="420919D0">
            <w:pPr>
              <w:jc w:val="center"/>
              <w:rPr>
                <w:sz w:val="21"/>
              </w:rPr>
            </w:pPr>
            <w:r>
              <w:rPr>
                <w:sz w:val="21"/>
              </w:rPr>
              <w:t>职称</w:t>
            </w:r>
          </w:p>
        </w:tc>
        <w:tc>
          <w:tcPr>
            <w:tcW w:w="4533" w:type="dxa"/>
            <w:gridSpan w:val="4"/>
            <w:vAlign w:val="center"/>
          </w:tcPr>
          <w:p w14:paraId="2E7EDEB0">
            <w:pPr>
              <w:jc w:val="center"/>
              <w:rPr>
                <w:sz w:val="21"/>
              </w:rPr>
            </w:pPr>
            <w:r>
              <w:rPr>
                <w:sz w:val="21"/>
              </w:rPr>
              <w:t>执业或职业资格证明</w:t>
            </w:r>
          </w:p>
        </w:tc>
        <w:tc>
          <w:tcPr>
            <w:tcW w:w="1136" w:type="dxa"/>
            <w:vMerge w:val="restart"/>
            <w:vAlign w:val="center"/>
          </w:tcPr>
          <w:p w14:paraId="77DD2796">
            <w:pPr>
              <w:jc w:val="center"/>
              <w:rPr>
                <w:sz w:val="21"/>
              </w:rPr>
            </w:pPr>
            <w:r>
              <w:rPr>
                <w:sz w:val="21"/>
              </w:rPr>
              <w:t>备注</w:t>
            </w:r>
          </w:p>
        </w:tc>
      </w:tr>
      <w:tr w14:paraId="6A54F3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6" w:hRule="atLeast"/>
          <w:jc w:val="center"/>
        </w:trPr>
        <w:tc>
          <w:tcPr>
            <w:tcW w:w="1133" w:type="dxa"/>
            <w:vMerge w:val="continue"/>
            <w:tcBorders>
              <w:top w:val="nil"/>
            </w:tcBorders>
          </w:tcPr>
          <w:p w14:paraId="48991547"/>
        </w:tc>
        <w:tc>
          <w:tcPr>
            <w:tcW w:w="1136" w:type="dxa"/>
            <w:vMerge w:val="continue"/>
            <w:tcBorders>
              <w:top w:val="nil"/>
            </w:tcBorders>
          </w:tcPr>
          <w:p w14:paraId="128F5CE2"/>
        </w:tc>
        <w:tc>
          <w:tcPr>
            <w:tcW w:w="1135" w:type="dxa"/>
            <w:vMerge w:val="continue"/>
            <w:tcBorders>
              <w:top w:val="nil"/>
            </w:tcBorders>
          </w:tcPr>
          <w:p w14:paraId="54D35DD8"/>
        </w:tc>
        <w:tc>
          <w:tcPr>
            <w:tcW w:w="1234" w:type="dxa"/>
            <w:vAlign w:val="center"/>
          </w:tcPr>
          <w:p w14:paraId="73CE421E">
            <w:pPr>
              <w:jc w:val="center"/>
            </w:pPr>
            <w:r>
              <w:t>证书名称</w:t>
            </w:r>
          </w:p>
        </w:tc>
        <w:tc>
          <w:tcPr>
            <w:tcW w:w="1030" w:type="dxa"/>
            <w:vAlign w:val="center"/>
          </w:tcPr>
          <w:p w14:paraId="69B8EFA1">
            <w:pPr>
              <w:jc w:val="center"/>
            </w:pPr>
            <w:r>
              <w:t>级别</w:t>
            </w:r>
          </w:p>
        </w:tc>
        <w:tc>
          <w:tcPr>
            <w:tcW w:w="1133" w:type="dxa"/>
            <w:vAlign w:val="center"/>
          </w:tcPr>
          <w:p w14:paraId="04DC8911">
            <w:pPr>
              <w:jc w:val="center"/>
            </w:pPr>
            <w:r>
              <w:t>证号</w:t>
            </w:r>
          </w:p>
        </w:tc>
        <w:tc>
          <w:tcPr>
            <w:tcW w:w="1136" w:type="dxa"/>
            <w:vAlign w:val="center"/>
          </w:tcPr>
          <w:p w14:paraId="207DE5E9">
            <w:pPr>
              <w:jc w:val="center"/>
            </w:pPr>
            <w:r>
              <w:t>专业</w:t>
            </w:r>
          </w:p>
        </w:tc>
        <w:tc>
          <w:tcPr>
            <w:tcW w:w="1136" w:type="dxa"/>
            <w:vMerge w:val="continue"/>
            <w:tcBorders>
              <w:top w:val="nil"/>
            </w:tcBorders>
          </w:tcPr>
          <w:p w14:paraId="1FA50585">
            <w:pPr>
              <w:rPr>
                <w:sz w:val="2"/>
                <w:szCs w:val="2"/>
              </w:rPr>
            </w:pPr>
          </w:p>
        </w:tc>
      </w:tr>
      <w:tr w14:paraId="04EC2D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8" w:hRule="atLeast"/>
          <w:jc w:val="center"/>
        </w:trPr>
        <w:tc>
          <w:tcPr>
            <w:tcW w:w="1133" w:type="dxa"/>
          </w:tcPr>
          <w:p w14:paraId="6FE5E2B9">
            <w:pPr>
              <w:pStyle w:val="76"/>
              <w:rPr>
                <w:sz w:val="20"/>
              </w:rPr>
            </w:pPr>
          </w:p>
        </w:tc>
        <w:tc>
          <w:tcPr>
            <w:tcW w:w="1136" w:type="dxa"/>
          </w:tcPr>
          <w:p w14:paraId="3001A585">
            <w:pPr>
              <w:pStyle w:val="76"/>
              <w:rPr>
                <w:sz w:val="20"/>
              </w:rPr>
            </w:pPr>
          </w:p>
        </w:tc>
        <w:tc>
          <w:tcPr>
            <w:tcW w:w="1135" w:type="dxa"/>
          </w:tcPr>
          <w:p w14:paraId="197A2BD7">
            <w:pPr>
              <w:pStyle w:val="76"/>
              <w:rPr>
                <w:sz w:val="20"/>
              </w:rPr>
            </w:pPr>
          </w:p>
        </w:tc>
        <w:tc>
          <w:tcPr>
            <w:tcW w:w="1234" w:type="dxa"/>
          </w:tcPr>
          <w:p w14:paraId="6F45B525">
            <w:pPr>
              <w:pStyle w:val="76"/>
              <w:rPr>
                <w:sz w:val="20"/>
              </w:rPr>
            </w:pPr>
          </w:p>
        </w:tc>
        <w:tc>
          <w:tcPr>
            <w:tcW w:w="1030" w:type="dxa"/>
          </w:tcPr>
          <w:p w14:paraId="3CC78A0C">
            <w:pPr>
              <w:pStyle w:val="76"/>
              <w:rPr>
                <w:sz w:val="20"/>
              </w:rPr>
            </w:pPr>
          </w:p>
        </w:tc>
        <w:tc>
          <w:tcPr>
            <w:tcW w:w="1133" w:type="dxa"/>
          </w:tcPr>
          <w:p w14:paraId="4FB42F27">
            <w:pPr>
              <w:pStyle w:val="76"/>
              <w:rPr>
                <w:sz w:val="20"/>
              </w:rPr>
            </w:pPr>
          </w:p>
        </w:tc>
        <w:tc>
          <w:tcPr>
            <w:tcW w:w="1136" w:type="dxa"/>
          </w:tcPr>
          <w:p w14:paraId="4F99ADD2">
            <w:pPr>
              <w:pStyle w:val="76"/>
              <w:rPr>
                <w:sz w:val="20"/>
              </w:rPr>
            </w:pPr>
          </w:p>
        </w:tc>
        <w:tc>
          <w:tcPr>
            <w:tcW w:w="1136" w:type="dxa"/>
          </w:tcPr>
          <w:p w14:paraId="5811CF35">
            <w:pPr>
              <w:pStyle w:val="76"/>
              <w:rPr>
                <w:sz w:val="20"/>
              </w:rPr>
            </w:pPr>
          </w:p>
        </w:tc>
      </w:tr>
      <w:tr w14:paraId="11764F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5" w:hRule="atLeast"/>
          <w:jc w:val="center"/>
        </w:trPr>
        <w:tc>
          <w:tcPr>
            <w:tcW w:w="1133" w:type="dxa"/>
          </w:tcPr>
          <w:p w14:paraId="075B3ADA">
            <w:pPr>
              <w:pStyle w:val="76"/>
              <w:rPr>
                <w:sz w:val="20"/>
              </w:rPr>
            </w:pPr>
          </w:p>
        </w:tc>
        <w:tc>
          <w:tcPr>
            <w:tcW w:w="1136" w:type="dxa"/>
          </w:tcPr>
          <w:p w14:paraId="03C31A09">
            <w:pPr>
              <w:pStyle w:val="76"/>
              <w:rPr>
                <w:sz w:val="20"/>
              </w:rPr>
            </w:pPr>
          </w:p>
        </w:tc>
        <w:tc>
          <w:tcPr>
            <w:tcW w:w="1135" w:type="dxa"/>
          </w:tcPr>
          <w:p w14:paraId="00B54DF7">
            <w:pPr>
              <w:pStyle w:val="76"/>
              <w:rPr>
                <w:sz w:val="20"/>
              </w:rPr>
            </w:pPr>
          </w:p>
        </w:tc>
        <w:tc>
          <w:tcPr>
            <w:tcW w:w="1234" w:type="dxa"/>
          </w:tcPr>
          <w:p w14:paraId="41938E55">
            <w:pPr>
              <w:pStyle w:val="76"/>
              <w:rPr>
                <w:sz w:val="20"/>
              </w:rPr>
            </w:pPr>
          </w:p>
        </w:tc>
        <w:tc>
          <w:tcPr>
            <w:tcW w:w="1030" w:type="dxa"/>
          </w:tcPr>
          <w:p w14:paraId="1C74FCE7">
            <w:pPr>
              <w:pStyle w:val="76"/>
              <w:rPr>
                <w:sz w:val="20"/>
              </w:rPr>
            </w:pPr>
          </w:p>
        </w:tc>
        <w:tc>
          <w:tcPr>
            <w:tcW w:w="1133" w:type="dxa"/>
          </w:tcPr>
          <w:p w14:paraId="1D9D0873">
            <w:pPr>
              <w:pStyle w:val="76"/>
              <w:rPr>
                <w:sz w:val="20"/>
              </w:rPr>
            </w:pPr>
          </w:p>
        </w:tc>
        <w:tc>
          <w:tcPr>
            <w:tcW w:w="1136" w:type="dxa"/>
          </w:tcPr>
          <w:p w14:paraId="73A0C148">
            <w:pPr>
              <w:pStyle w:val="76"/>
              <w:rPr>
                <w:sz w:val="20"/>
              </w:rPr>
            </w:pPr>
          </w:p>
        </w:tc>
        <w:tc>
          <w:tcPr>
            <w:tcW w:w="1136" w:type="dxa"/>
          </w:tcPr>
          <w:p w14:paraId="4D2D0905">
            <w:pPr>
              <w:pStyle w:val="76"/>
              <w:rPr>
                <w:sz w:val="20"/>
              </w:rPr>
            </w:pPr>
          </w:p>
        </w:tc>
      </w:tr>
      <w:tr w14:paraId="176BA3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8" w:hRule="atLeast"/>
          <w:jc w:val="center"/>
        </w:trPr>
        <w:tc>
          <w:tcPr>
            <w:tcW w:w="1133" w:type="dxa"/>
          </w:tcPr>
          <w:p w14:paraId="798848BC">
            <w:pPr>
              <w:pStyle w:val="76"/>
              <w:rPr>
                <w:sz w:val="20"/>
              </w:rPr>
            </w:pPr>
          </w:p>
        </w:tc>
        <w:tc>
          <w:tcPr>
            <w:tcW w:w="1136" w:type="dxa"/>
          </w:tcPr>
          <w:p w14:paraId="4E70514F">
            <w:pPr>
              <w:pStyle w:val="76"/>
              <w:rPr>
                <w:sz w:val="20"/>
              </w:rPr>
            </w:pPr>
          </w:p>
        </w:tc>
        <w:tc>
          <w:tcPr>
            <w:tcW w:w="1135" w:type="dxa"/>
          </w:tcPr>
          <w:p w14:paraId="1E4DD423">
            <w:pPr>
              <w:pStyle w:val="76"/>
              <w:rPr>
                <w:sz w:val="20"/>
              </w:rPr>
            </w:pPr>
          </w:p>
        </w:tc>
        <w:tc>
          <w:tcPr>
            <w:tcW w:w="1234" w:type="dxa"/>
          </w:tcPr>
          <w:p w14:paraId="6284E009">
            <w:pPr>
              <w:pStyle w:val="76"/>
              <w:rPr>
                <w:sz w:val="20"/>
              </w:rPr>
            </w:pPr>
          </w:p>
        </w:tc>
        <w:tc>
          <w:tcPr>
            <w:tcW w:w="1030" w:type="dxa"/>
          </w:tcPr>
          <w:p w14:paraId="177E894B">
            <w:pPr>
              <w:pStyle w:val="76"/>
              <w:rPr>
                <w:sz w:val="20"/>
              </w:rPr>
            </w:pPr>
          </w:p>
        </w:tc>
        <w:tc>
          <w:tcPr>
            <w:tcW w:w="1133" w:type="dxa"/>
          </w:tcPr>
          <w:p w14:paraId="63C8747F">
            <w:pPr>
              <w:pStyle w:val="76"/>
              <w:rPr>
                <w:sz w:val="20"/>
              </w:rPr>
            </w:pPr>
          </w:p>
        </w:tc>
        <w:tc>
          <w:tcPr>
            <w:tcW w:w="1136" w:type="dxa"/>
          </w:tcPr>
          <w:p w14:paraId="6384A1A9">
            <w:pPr>
              <w:pStyle w:val="76"/>
              <w:rPr>
                <w:sz w:val="20"/>
              </w:rPr>
            </w:pPr>
          </w:p>
        </w:tc>
        <w:tc>
          <w:tcPr>
            <w:tcW w:w="1136" w:type="dxa"/>
          </w:tcPr>
          <w:p w14:paraId="49D628AC">
            <w:pPr>
              <w:pStyle w:val="76"/>
              <w:rPr>
                <w:sz w:val="20"/>
              </w:rPr>
            </w:pPr>
          </w:p>
        </w:tc>
      </w:tr>
      <w:tr w14:paraId="4C3633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6" w:hRule="atLeast"/>
          <w:jc w:val="center"/>
        </w:trPr>
        <w:tc>
          <w:tcPr>
            <w:tcW w:w="1133" w:type="dxa"/>
          </w:tcPr>
          <w:p w14:paraId="2E25507E">
            <w:pPr>
              <w:pStyle w:val="76"/>
              <w:rPr>
                <w:sz w:val="20"/>
              </w:rPr>
            </w:pPr>
          </w:p>
        </w:tc>
        <w:tc>
          <w:tcPr>
            <w:tcW w:w="1136" w:type="dxa"/>
          </w:tcPr>
          <w:p w14:paraId="04341B82">
            <w:pPr>
              <w:pStyle w:val="76"/>
              <w:rPr>
                <w:sz w:val="20"/>
              </w:rPr>
            </w:pPr>
          </w:p>
        </w:tc>
        <w:tc>
          <w:tcPr>
            <w:tcW w:w="1135" w:type="dxa"/>
          </w:tcPr>
          <w:p w14:paraId="1AF5BCF1">
            <w:pPr>
              <w:pStyle w:val="76"/>
              <w:rPr>
                <w:sz w:val="20"/>
              </w:rPr>
            </w:pPr>
          </w:p>
        </w:tc>
        <w:tc>
          <w:tcPr>
            <w:tcW w:w="1234" w:type="dxa"/>
          </w:tcPr>
          <w:p w14:paraId="06341CAF">
            <w:pPr>
              <w:pStyle w:val="76"/>
              <w:rPr>
                <w:sz w:val="20"/>
              </w:rPr>
            </w:pPr>
          </w:p>
        </w:tc>
        <w:tc>
          <w:tcPr>
            <w:tcW w:w="1030" w:type="dxa"/>
          </w:tcPr>
          <w:p w14:paraId="00761A93">
            <w:pPr>
              <w:pStyle w:val="76"/>
              <w:rPr>
                <w:sz w:val="20"/>
              </w:rPr>
            </w:pPr>
          </w:p>
        </w:tc>
        <w:tc>
          <w:tcPr>
            <w:tcW w:w="1133" w:type="dxa"/>
          </w:tcPr>
          <w:p w14:paraId="5B7A1F66">
            <w:pPr>
              <w:pStyle w:val="76"/>
              <w:rPr>
                <w:sz w:val="20"/>
              </w:rPr>
            </w:pPr>
          </w:p>
        </w:tc>
        <w:tc>
          <w:tcPr>
            <w:tcW w:w="1136" w:type="dxa"/>
          </w:tcPr>
          <w:p w14:paraId="53D67279">
            <w:pPr>
              <w:pStyle w:val="76"/>
              <w:rPr>
                <w:sz w:val="20"/>
              </w:rPr>
            </w:pPr>
          </w:p>
        </w:tc>
        <w:tc>
          <w:tcPr>
            <w:tcW w:w="1136" w:type="dxa"/>
          </w:tcPr>
          <w:p w14:paraId="39ECAF02">
            <w:pPr>
              <w:pStyle w:val="76"/>
              <w:rPr>
                <w:sz w:val="20"/>
              </w:rPr>
            </w:pPr>
          </w:p>
        </w:tc>
      </w:tr>
      <w:tr w14:paraId="6735B6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6" w:hRule="atLeast"/>
          <w:jc w:val="center"/>
        </w:trPr>
        <w:tc>
          <w:tcPr>
            <w:tcW w:w="1133" w:type="dxa"/>
          </w:tcPr>
          <w:p w14:paraId="59B2E4AF">
            <w:pPr>
              <w:pStyle w:val="76"/>
              <w:rPr>
                <w:sz w:val="20"/>
              </w:rPr>
            </w:pPr>
          </w:p>
        </w:tc>
        <w:tc>
          <w:tcPr>
            <w:tcW w:w="1136" w:type="dxa"/>
          </w:tcPr>
          <w:p w14:paraId="76BEB9D9">
            <w:pPr>
              <w:pStyle w:val="76"/>
              <w:rPr>
                <w:sz w:val="20"/>
              </w:rPr>
            </w:pPr>
          </w:p>
        </w:tc>
        <w:tc>
          <w:tcPr>
            <w:tcW w:w="1135" w:type="dxa"/>
          </w:tcPr>
          <w:p w14:paraId="6FBDC685">
            <w:pPr>
              <w:pStyle w:val="76"/>
              <w:rPr>
                <w:sz w:val="20"/>
              </w:rPr>
            </w:pPr>
          </w:p>
        </w:tc>
        <w:tc>
          <w:tcPr>
            <w:tcW w:w="1234" w:type="dxa"/>
          </w:tcPr>
          <w:p w14:paraId="10AB1697">
            <w:pPr>
              <w:pStyle w:val="76"/>
              <w:rPr>
                <w:sz w:val="20"/>
              </w:rPr>
            </w:pPr>
          </w:p>
        </w:tc>
        <w:tc>
          <w:tcPr>
            <w:tcW w:w="1030" w:type="dxa"/>
          </w:tcPr>
          <w:p w14:paraId="1DD0F285">
            <w:pPr>
              <w:pStyle w:val="76"/>
              <w:rPr>
                <w:sz w:val="20"/>
              </w:rPr>
            </w:pPr>
          </w:p>
        </w:tc>
        <w:tc>
          <w:tcPr>
            <w:tcW w:w="1133" w:type="dxa"/>
          </w:tcPr>
          <w:p w14:paraId="41060308">
            <w:pPr>
              <w:pStyle w:val="76"/>
              <w:rPr>
                <w:sz w:val="20"/>
              </w:rPr>
            </w:pPr>
          </w:p>
        </w:tc>
        <w:tc>
          <w:tcPr>
            <w:tcW w:w="1136" w:type="dxa"/>
          </w:tcPr>
          <w:p w14:paraId="5750936C">
            <w:pPr>
              <w:pStyle w:val="76"/>
              <w:rPr>
                <w:sz w:val="20"/>
              </w:rPr>
            </w:pPr>
          </w:p>
        </w:tc>
        <w:tc>
          <w:tcPr>
            <w:tcW w:w="1136" w:type="dxa"/>
          </w:tcPr>
          <w:p w14:paraId="021D0D7E">
            <w:pPr>
              <w:pStyle w:val="76"/>
              <w:rPr>
                <w:sz w:val="20"/>
              </w:rPr>
            </w:pPr>
          </w:p>
        </w:tc>
      </w:tr>
      <w:tr w14:paraId="516B34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8" w:hRule="atLeast"/>
          <w:jc w:val="center"/>
        </w:trPr>
        <w:tc>
          <w:tcPr>
            <w:tcW w:w="1133" w:type="dxa"/>
          </w:tcPr>
          <w:p w14:paraId="7E23FB85">
            <w:pPr>
              <w:pStyle w:val="76"/>
              <w:rPr>
                <w:sz w:val="20"/>
              </w:rPr>
            </w:pPr>
          </w:p>
        </w:tc>
        <w:tc>
          <w:tcPr>
            <w:tcW w:w="1136" w:type="dxa"/>
          </w:tcPr>
          <w:p w14:paraId="5AB3710A">
            <w:pPr>
              <w:pStyle w:val="76"/>
              <w:rPr>
                <w:sz w:val="20"/>
              </w:rPr>
            </w:pPr>
          </w:p>
        </w:tc>
        <w:tc>
          <w:tcPr>
            <w:tcW w:w="1135" w:type="dxa"/>
          </w:tcPr>
          <w:p w14:paraId="7D979B62">
            <w:pPr>
              <w:pStyle w:val="76"/>
              <w:rPr>
                <w:sz w:val="20"/>
              </w:rPr>
            </w:pPr>
          </w:p>
        </w:tc>
        <w:tc>
          <w:tcPr>
            <w:tcW w:w="1234" w:type="dxa"/>
          </w:tcPr>
          <w:p w14:paraId="4BBC1491">
            <w:pPr>
              <w:pStyle w:val="76"/>
              <w:rPr>
                <w:sz w:val="20"/>
              </w:rPr>
            </w:pPr>
          </w:p>
        </w:tc>
        <w:tc>
          <w:tcPr>
            <w:tcW w:w="1030" w:type="dxa"/>
          </w:tcPr>
          <w:p w14:paraId="3F1E28EC">
            <w:pPr>
              <w:pStyle w:val="76"/>
              <w:rPr>
                <w:sz w:val="20"/>
              </w:rPr>
            </w:pPr>
          </w:p>
        </w:tc>
        <w:tc>
          <w:tcPr>
            <w:tcW w:w="1133" w:type="dxa"/>
          </w:tcPr>
          <w:p w14:paraId="504E659A">
            <w:pPr>
              <w:pStyle w:val="76"/>
              <w:rPr>
                <w:sz w:val="20"/>
              </w:rPr>
            </w:pPr>
          </w:p>
        </w:tc>
        <w:tc>
          <w:tcPr>
            <w:tcW w:w="1136" w:type="dxa"/>
          </w:tcPr>
          <w:p w14:paraId="6816F52C">
            <w:pPr>
              <w:pStyle w:val="76"/>
              <w:rPr>
                <w:sz w:val="20"/>
              </w:rPr>
            </w:pPr>
          </w:p>
        </w:tc>
        <w:tc>
          <w:tcPr>
            <w:tcW w:w="1136" w:type="dxa"/>
          </w:tcPr>
          <w:p w14:paraId="08BED267">
            <w:pPr>
              <w:pStyle w:val="76"/>
              <w:rPr>
                <w:sz w:val="20"/>
              </w:rPr>
            </w:pPr>
          </w:p>
        </w:tc>
      </w:tr>
      <w:tr w14:paraId="2F33E6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5" w:hRule="atLeast"/>
          <w:jc w:val="center"/>
        </w:trPr>
        <w:tc>
          <w:tcPr>
            <w:tcW w:w="1133" w:type="dxa"/>
          </w:tcPr>
          <w:p w14:paraId="6B07F797">
            <w:pPr>
              <w:pStyle w:val="76"/>
              <w:rPr>
                <w:sz w:val="20"/>
              </w:rPr>
            </w:pPr>
          </w:p>
        </w:tc>
        <w:tc>
          <w:tcPr>
            <w:tcW w:w="1136" w:type="dxa"/>
          </w:tcPr>
          <w:p w14:paraId="122A1603">
            <w:pPr>
              <w:pStyle w:val="76"/>
              <w:rPr>
                <w:sz w:val="20"/>
              </w:rPr>
            </w:pPr>
          </w:p>
        </w:tc>
        <w:tc>
          <w:tcPr>
            <w:tcW w:w="1135" w:type="dxa"/>
          </w:tcPr>
          <w:p w14:paraId="7E67D381">
            <w:pPr>
              <w:pStyle w:val="76"/>
              <w:rPr>
                <w:sz w:val="20"/>
              </w:rPr>
            </w:pPr>
          </w:p>
        </w:tc>
        <w:tc>
          <w:tcPr>
            <w:tcW w:w="1234" w:type="dxa"/>
          </w:tcPr>
          <w:p w14:paraId="5B439F0C">
            <w:pPr>
              <w:pStyle w:val="76"/>
              <w:rPr>
                <w:sz w:val="20"/>
              </w:rPr>
            </w:pPr>
          </w:p>
        </w:tc>
        <w:tc>
          <w:tcPr>
            <w:tcW w:w="1030" w:type="dxa"/>
          </w:tcPr>
          <w:p w14:paraId="356FFC74">
            <w:pPr>
              <w:pStyle w:val="76"/>
              <w:rPr>
                <w:sz w:val="20"/>
              </w:rPr>
            </w:pPr>
          </w:p>
        </w:tc>
        <w:tc>
          <w:tcPr>
            <w:tcW w:w="1133" w:type="dxa"/>
          </w:tcPr>
          <w:p w14:paraId="29F1EBF2">
            <w:pPr>
              <w:pStyle w:val="76"/>
              <w:rPr>
                <w:sz w:val="20"/>
              </w:rPr>
            </w:pPr>
          </w:p>
        </w:tc>
        <w:tc>
          <w:tcPr>
            <w:tcW w:w="1136" w:type="dxa"/>
          </w:tcPr>
          <w:p w14:paraId="6A609DD8">
            <w:pPr>
              <w:pStyle w:val="76"/>
              <w:rPr>
                <w:sz w:val="20"/>
              </w:rPr>
            </w:pPr>
          </w:p>
        </w:tc>
        <w:tc>
          <w:tcPr>
            <w:tcW w:w="1136" w:type="dxa"/>
          </w:tcPr>
          <w:p w14:paraId="2534DA5A">
            <w:pPr>
              <w:pStyle w:val="76"/>
              <w:rPr>
                <w:sz w:val="20"/>
              </w:rPr>
            </w:pPr>
          </w:p>
        </w:tc>
      </w:tr>
      <w:tr w14:paraId="4EED86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8" w:hRule="atLeast"/>
          <w:jc w:val="center"/>
        </w:trPr>
        <w:tc>
          <w:tcPr>
            <w:tcW w:w="1133" w:type="dxa"/>
          </w:tcPr>
          <w:p w14:paraId="4AB3F1C2">
            <w:pPr>
              <w:pStyle w:val="76"/>
              <w:rPr>
                <w:sz w:val="20"/>
              </w:rPr>
            </w:pPr>
          </w:p>
        </w:tc>
        <w:tc>
          <w:tcPr>
            <w:tcW w:w="1136" w:type="dxa"/>
          </w:tcPr>
          <w:p w14:paraId="6182B95F">
            <w:pPr>
              <w:pStyle w:val="76"/>
              <w:rPr>
                <w:sz w:val="20"/>
              </w:rPr>
            </w:pPr>
          </w:p>
        </w:tc>
        <w:tc>
          <w:tcPr>
            <w:tcW w:w="1135" w:type="dxa"/>
          </w:tcPr>
          <w:p w14:paraId="3D7AAF82">
            <w:pPr>
              <w:pStyle w:val="76"/>
              <w:rPr>
                <w:sz w:val="20"/>
              </w:rPr>
            </w:pPr>
          </w:p>
        </w:tc>
        <w:tc>
          <w:tcPr>
            <w:tcW w:w="1234" w:type="dxa"/>
          </w:tcPr>
          <w:p w14:paraId="340542DE">
            <w:pPr>
              <w:pStyle w:val="76"/>
              <w:rPr>
                <w:sz w:val="20"/>
              </w:rPr>
            </w:pPr>
          </w:p>
        </w:tc>
        <w:tc>
          <w:tcPr>
            <w:tcW w:w="1030" w:type="dxa"/>
          </w:tcPr>
          <w:p w14:paraId="27B62540">
            <w:pPr>
              <w:pStyle w:val="76"/>
              <w:rPr>
                <w:sz w:val="20"/>
              </w:rPr>
            </w:pPr>
          </w:p>
        </w:tc>
        <w:tc>
          <w:tcPr>
            <w:tcW w:w="1133" w:type="dxa"/>
          </w:tcPr>
          <w:p w14:paraId="21CA3507">
            <w:pPr>
              <w:pStyle w:val="76"/>
              <w:rPr>
                <w:sz w:val="20"/>
              </w:rPr>
            </w:pPr>
          </w:p>
        </w:tc>
        <w:tc>
          <w:tcPr>
            <w:tcW w:w="1136" w:type="dxa"/>
          </w:tcPr>
          <w:p w14:paraId="6A63C8AC">
            <w:pPr>
              <w:pStyle w:val="76"/>
              <w:rPr>
                <w:sz w:val="20"/>
              </w:rPr>
            </w:pPr>
          </w:p>
        </w:tc>
        <w:tc>
          <w:tcPr>
            <w:tcW w:w="1136" w:type="dxa"/>
          </w:tcPr>
          <w:p w14:paraId="7D64D350">
            <w:pPr>
              <w:pStyle w:val="76"/>
              <w:rPr>
                <w:sz w:val="20"/>
              </w:rPr>
            </w:pPr>
          </w:p>
        </w:tc>
      </w:tr>
      <w:tr w14:paraId="48C855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5" w:hRule="atLeast"/>
          <w:jc w:val="center"/>
        </w:trPr>
        <w:tc>
          <w:tcPr>
            <w:tcW w:w="1133" w:type="dxa"/>
          </w:tcPr>
          <w:p w14:paraId="14B75C0B">
            <w:pPr>
              <w:pStyle w:val="76"/>
              <w:rPr>
                <w:sz w:val="20"/>
              </w:rPr>
            </w:pPr>
          </w:p>
        </w:tc>
        <w:tc>
          <w:tcPr>
            <w:tcW w:w="1136" w:type="dxa"/>
          </w:tcPr>
          <w:p w14:paraId="6470DEBB">
            <w:pPr>
              <w:pStyle w:val="76"/>
              <w:rPr>
                <w:sz w:val="20"/>
              </w:rPr>
            </w:pPr>
          </w:p>
        </w:tc>
        <w:tc>
          <w:tcPr>
            <w:tcW w:w="1135" w:type="dxa"/>
          </w:tcPr>
          <w:p w14:paraId="196BC696">
            <w:pPr>
              <w:pStyle w:val="76"/>
              <w:rPr>
                <w:sz w:val="20"/>
              </w:rPr>
            </w:pPr>
          </w:p>
        </w:tc>
        <w:tc>
          <w:tcPr>
            <w:tcW w:w="1234" w:type="dxa"/>
          </w:tcPr>
          <w:p w14:paraId="495C3AB2">
            <w:pPr>
              <w:pStyle w:val="76"/>
              <w:rPr>
                <w:sz w:val="20"/>
              </w:rPr>
            </w:pPr>
          </w:p>
        </w:tc>
        <w:tc>
          <w:tcPr>
            <w:tcW w:w="1030" w:type="dxa"/>
          </w:tcPr>
          <w:p w14:paraId="4E710FB0">
            <w:pPr>
              <w:pStyle w:val="76"/>
              <w:rPr>
                <w:sz w:val="20"/>
              </w:rPr>
            </w:pPr>
          </w:p>
        </w:tc>
        <w:tc>
          <w:tcPr>
            <w:tcW w:w="1133" w:type="dxa"/>
          </w:tcPr>
          <w:p w14:paraId="52D62082">
            <w:pPr>
              <w:pStyle w:val="76"/>
              <w:rPr>
                <w:sz w:val="20"/>
              </w:rPr>
            </w:pPr>
          </w:p>
        </w:tc>
        <w:tc>
          <w:tcPr>
            <w:tcW w:w="1136" w:type="dxa"/>
          </w:tcPr>
          <w:p w14:paraId="0FA993D8">
            <w:pPr>
              <w:pStyle w:val="76"/>
              <w:rPr>
                <w:sz w:val="20"/>
              </w:rPr>
            </w:pPr>
          </w:p>
        </w:tc>
        <w:tc>
          <w:tcPr>
            <w:tcW w:w="1136" w:type="dxa"/>
          </w:tcPr>
          <w:p w14:paraId="4544F3E2">
            <w:pPr>
              <w:pStyle w:val="76"/>
              <w:rPr>
                <w:sz w:val="20"/>
              </w:rPr>
            </w:pPr>
          </w:p>
        </w:tc>
      </w:tr>
      <w:tr w14:paraId="071F7A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8" w:hRule="atLeast"/>
          <w:jc w:val="center"/>
        </w:trPr>
        <w:tc>
          <w:tcPr>
            <w:tcW w:w="1133" w:type="dxa"/>
          </w:tcPr>
          <w:p w14:paraId="77778E8F">
            <w:pPr>
              <w:pStyle w:val="76"/>
              <w:rPr>
                <w:sz w:val="20"/>
              </w:rPr>
            </w:pPr>
          </w:p>
        </w:tc>
        <w:tc>
          <w:tcPr>
            <w:tcW w:w="1136" w:type="dxa"/>
          </w:tcPr>
          <w:p w14:paraId="5BB90E28">
            <w:pPr>
              <w:pStyle w:val="76"/>
              <w:rPr>
                <w:sz w:val="20"/>
              </w:rPr>
            </w:pPr>
          </w:p>
        </w:tc>
        <w:tc>
          <w:tcPr>
            <w:tcW w:w="1135" w:type="dxa"/>
          </w:tcPr>
          <w:p w14:paraId="290430DB">
            <w:pPr>
              <w:pStyle w:val="76"/>
              <w:rPr>
                <w:sz w:val="20"/>
              </w:rPr>
            </w:pPr>
          </w:p>
        </w:tc>
        <w:tc>
          <w:tcPr>
            <w:tcW w:w="1234" w:type="dxa"/>
          </w:tcPr>
          <w:p w14:paraId="6C37277A">
            <w:pPr>
              <w:pStyle w:val="76"/>
              <w:rPr>
                <w:sz w:val="20"/>
              </w:rPr>
            </w:pPr>
          </w:p>
        </w:tc>
        <w:tc>
          <w:tcPr>
            <w:tcW w:w="1030" w:type="dxa"/>
          </w:tcPr>
          <w:p w14:paraId="766B38D7">
            <w:pPr>
              <w:pStyle w:val="76"/>
              <w:rPr>
                <w:sz w:val="20"/>
              </w:rPr>
            </w:pPr>
          </w:p>
        </w:tc>
        <w:tc>
          <w:tcPr>
            <w:tcW w:w="1133" w:type="dxa"/>
          </w:tcPr>
          <w:p w14:paraId="642EB781">
            <w:pPr>
              <w:pStyle w:val="76"/>
              <w:rPr>
                <w:sz w:val="20"/>
              </w:rPr>
            </w:pPr>
          </w:p>
        </w:tc>
        <w:tc>
          <w:tcPr>
            <w:tcW w:w="1136" w:type="dxa"/>
          </w:tcPr>
          <w:p w14:paraId="1A44A5C8">
            <w:pPr>
              <w:pStyle w:val="76"/>
              <w:rPr>
                <w:sz w:val="20"/>
              </w:rPr>
            </w:pPr>
          </w:p>
        </w:tc>
        <w:tc>
          <w:tcPr>
            <w:tcW w:w="1136" w:type="dxa"/>
          </w:tcPr>
          <w:p w14:paraId="788EFA7E">
            <w:pPr>
              <w:pStyle w:val="76"/>
              <w:rPr>
                <w:sz w:val="20"/>
              </w:rPr>
            </w:pPr>
          </w:p>
        </w:tc>
      </w:tr>
    </w:tbl>
    <w:p w14:paraId="16926782">
      <w:pPr>
        <w:pStyle w:val="18"/>
        <w:spacing w:before="102"/>
      </w:pPr>
      <w:r>
        <w:rPr>
          <w:spacing w:val="-3"/>
        </w:rPr>
        <w:t>注：后附人员身份证、执业或职业资格证明等其他相关证件。</w:t>
      </w:r>
    </w:p>
    <w:p w14:paraId="773C9EAC">
      <w:pPr>
        <w:pStyle w:val="18"/>
        <w:sectPr>
          <w:pgSz w:w="11920" w:h="16850"/>
          <w:pgMar w:top="1420" w:right="992" w:bottom="1100" w:left="1133" w:header="0" w:footer="913" w:gutter="0"/>
          <w:cols w:space="720" w:num="1"/>
        </w:sectPr>
      </w:pPr>
    </w:p>
    <w:p w14:paraId="610664FC">
      <w:pPr>
        <w:pStyle w:val="5"/>
        <w:rPr>
          <w:rFonts w:ascii="宋体" w:hAnsi="宋体" w:eastAsia="宋体"/>
        </w:rPr>
      </w:pPr>
      <w:bookmarkStart w:id="555" w:name="八、企业实力"/>
      <w:bookmarkEnd w:id="555"/>
      <w:r>
        <w:rPr>
          <w:rFonts w:ascii="宋体" w:hAnsi="宋体" w:eastAsia="宋体"/>
          <w:spacing w:val="-2"/>
        </w:rPr>
        <w:t>八、企业实力</w:t>
      </w:r>
    </w:p>
    <w:p w14:paraId="1FC31F31">
      <w:pPr>
        <w:pStyle w:val="18"/>
        <w:spacing w:before="125"/>
        <w:ind w:left="703"/>
      </w:pPr>
      <w:r>
        <w:rPr>
          <w:spacing w:val="-2"/>
        </w:rPr>
        <w:t>1</w:t>
      </w:r>
      <w:r>
        <w:rPr>
          <w:spacing w:val="-4"/>
        </w:rPr>
        <w:t>、企业企业业绩；</w:t>
      </w:r>
    </w:p>
    <w:p w14:paraId="5E86D792">
      <w:pPr>
        <w:pStyle w:val="18"/>
        <w:spacing w:before="139"/>
        <w:ind w:left="703"/>
      </w:pPr>
      <w:r>
        <w:rPr>
          <w:spacing w:val="-2"/>
        </w:rPr>
        <w:t>2</w:t>
      </w:r>
      <w:r>
        <w:rPr>
          <w:spacing w:val="-4"/>
        </w:rPr>
        <w:t>、项目经理业绩；</w:t>
      </w:r>
    </w:p>
    <w:p w14:paraId="0C8C034A">
      <w:pPr>
        <w:pStyle w:val="18"/>
        <w:spacing w:before="142"/>
        <w:ind w:left="703"/>
      </w:pPr>
      <w:r>
        <w:rPr>
          <w:spacing w:val="-2"/>
        </w:rPr>
        <w:t>3</w:t>
      </w:r>
      <w:r>
        <w:rPr>
          <w:spacing w:val="-3"/>
        </w:rPr>
        <w:t>、供应商认为需提供的其他证明材料。</w:t>
      </w:r>
    </w:p>
    <w:p w14:paraId="316AED31">
      <w:pPr>
        <w:pStyle w:val="18"/>
        <w:sectPr>
          <w:pgSz w:w="11920" w:h="16850"/>
          <w:pgMar w:top="1420" w:right="992" w:bottom="1100" w:left="1133" w:header="0" w:footer="913" w:gutter="0"/>
          <w:cols w:space="720" w:num="1"/>
        </w:sectPr>
      </w:pPr>
    </w:p>
    <w:p w14:paraId="2851B5E0">
      <w:pPr>
        <w:pStyle w:val="5"/>
        <w:ind w:right="79"/>
        <w:rPr>
          <w:rFonts w:ascii="宋体" w:hAnsi="宋体" w:eastAsia="宋体"/>
        </w:rPr>
      </w:pPr>
      <w:bookmarkStart w:id="556" w:name="九、服务承诺"/>
      <w:bookmarkEnd w:id="556"/>
      <w:r>
        <w:rPr>
          <w:rFonts w:ascii="宋体" w:hAnsi="宋体" w:eastAsia="宋体"/>
          <w:spacing w:val="-2"/>
        </w:rPr>
        <w:t>九、服务承诺</w:t>
      </w:r>
    </w:p>
    <w:p w14:paraId="55842D40">
      <w:pPr>
        <w:pStyle w:val="10"/>
        <w:spacing w:before="56"/>
        <w:ind w:left="0" w:right="86" w:firstLine="0"/>
        <w:jc w:val="center"/>
        <w:rPr>
          <w:rFonts w:ascii="宋体" w:hAnsi="宋体" w:eastAsia="宋体"/>
        </w:rPr>
      </w:pPr>
      <w:r>
        <w:rPr>
          <w:rFonts w:ascii="宋体" w:hAnsi="宋体" w:eastAsia="宋体"/>
          <w:spacing w:val="-2"/>
        </w:rPr>
        <w:t>（供应商需根据自身情况结合评分办法综合标拟定承诺</w:t>
      </w:r>
      <w:r>
        <w:rPr>
          <w:rFonts w:ascii="宋体" w:hAnsi="宋体" w:eastAsia="宋体"/>
          <w:spacing w:val="-10"/>
        </w:rPr>
        <w:t>）</w:t>
      </w:r>
    </w:p>
    <w:p w14:paraId="20724C1B">
      <w:pPr>
        <w:pStyle w:val="10"/>
        <w:jc w:val="center"/>
        <w:rPr>
          <w:rFonts w:ascii="宋体" w:hAnsi="宋体" w:eastAsia="宋体"/>
        </w:rPr>
        <w:sectPr>
          <w:pgSz w:w="11920" w:h="16850"/>
          <w:pgMar w:top="1420" w:right="992" w:bottom="1100" w:left="1133" w:header="0" w:footer="913" w:gutter="0"/>
          <w:cols w:space="720" w:num="1"/>
        </w:sectPr>
      </w:pPr>
    </w:p>
    <w:p w14:paraId="6912376B">
      <w:pPr>
        <w:pStyle w:val="5"/>
        <w:rPr>
          <w:rFonts w:ascii="宋体" w:hAnsi="宋体" w:eastAsia="宋体"/>
        </w:rPr>
      </w:pPr>
      <w:bookmarkStart w:id="557" w:name="十、其他材料"/>
      <w:bookmarkEnd w:id="557"/>
      <w:r>
        <w:rPr>
          <w:rFonts w:ascii="宋体" w:hAnsi="宋体" w:eastAsia="宋体"/>
          <w:spacing w:val="-2"/>
        </w:rPr>
        <w:t>十、其他材料</w:t>
      </w:r>
    </w:p>
    <w:sectPr>
      <w:pgSz w:w="11920" w:h="16850"/>
      <w:pgMar w:top="1420" w:right="992" w:bottom="1100" w:left="1133" w:header="0" w:footer="913"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Microsoft JhengHei">
    <w:panose1 w:val="020B0604030504040204"/>
    <w:charset w:val="88"/>
    <w:family w:val="swiss"/>
    <w:pitch w:val="default"/>
    <w:sig w:usb0="00000087" w:usb1="28AF4000" w:usb2="00000016" w:usb3="00000000" w:csb0="00100009" w:csb1="00000000"/>
  </w:font>
  <w:font w:name="Courier New">
    <w:panose1 w:val="02070309020205020404"/>
    <w:charset w:val="00"/>
    <w:family w:val="modern"/>
    <w:pitch w:val="default"/>
    <w:sig w:usb0="E0002AFF" w:usb1="C0007843" w:usb2="00000009" w:usb3="00000000" w:csb0="400001FF" w:csb1="FFFF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华文细黑">
    <w:altName w:val="微软雅黑"/>
    <w:panose1 w:val="02010600040101010101"/>
    <w:charset w:val="86"/>
    <w:family w:val="auto"/>
    <w:pitch w:val="default"/>
    <w:sig w:usb0="00000000" w:usb1="00000000" w:usb2="00000010" w:usb3="00000000" w:csb0="0004009F" w:csb1="00000000"/>
  </w:font>
  <w:font w:name="微软雅黑">
    <w:panose1 w:val="020B0503020204020204"/>
    <w:charset w:val="86"/>
    <w:family w:val="auto"/>
    <w:pitch w:val="default"/>
    <w:sig w:usb0="80000287" w:usb1="280F3C52" w:usb2="00000016" w:usb3="00000000" w:csb0="0004001F" w:csb1="00000000"/>
  </w:font>
  <w:font w:name="Verdana">
    <w:panose1 w:val="020B0604030504040204"/>
    <w:charset w:val="00"/>
    <w:family w:val="swiss"/>
    <w:pitch w:val="default"/>
    <w:sig w:usb0="A10006FF" w:usb1="4000205B" w:usb2="00000010" w:usb3="00000000" w:csb0="2000019F" w:csb1="00000000"/>
  </w:font>
  <w:font w:name="Arial Unicode MS">
    <w:altName w:val="宋体"/>
    <w:panose1 w:val="020B0604020202020204"/>
    <w:charset w:val="86"/>
    <w:family w:val="swiss"/>
    <w:pitch w:val="default"/>
    <w:sig w:usb0="00000000" w:usb1="00000000" w:usb2="0000003F" w:usb3="00000000" w:csb0="003F01FF" w:csb1="00000000"/>
  </w:font>
  <w:font w:name="Arial">
    <w:panose1 w:val="020B0604020202020204"/>
    <w:charset w:val="00"/>
    <w:family w:val="swiss"/>
    <w:pitch w:val="default"/>
    <w:sig w:usb0="E0002AFF" w:usb1="C0007843" w:usb2="00000009" w:usb3="00000000" w:csb0="400001FF" w:csb1="FFFF0000"/>
  </w:font>
  <w:font w:name="monospace">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华文仿宋">
    <w:altName w:val="仿宋"/>
    <w:panose1 w:val="02010600040101010101"/>
    <w:charset w:val="86"/>
    <w:family w:val="auto"/>
    <w:pitch w:val="default"/>
    <w:sig w:usb0="00000000" w:usb1="00000000" w:usb2="00000010" w:usb3="00000000" w:csb0="0004009F" w:csb1="00000000"/>
  </w:font>
  <w:font w:name="仿宋">
    <w:panose1 w:val="02010609060101010101"/>
    <w:charset w:val="86"/>
    <w:family w:val="auto"/>
    <w:pitch w:val="default"/>
    <w:sig w:usb0="800002BF" w:usb1="38CF7CFA" w:usb2="00000016" w:usb3="00000000" w:csb0="00040001" w:csb1="00000000"/>
  </w:font>
  <w:font w:name="等线">
    <w:altName w:val="微软雅黑"/>
    <w:panose1 w:val="02010600030101010101"/>
    <w:charset w:val="86"/>
    <w:family w:val="auto"/>
    <w:pitch w:val="default"/>
    <w:sig w:usb0="00000000" w:usb1="00000000" w:usb2="00000016" w:usb3="00000000" w:csb0="0004000F" w:csb1="00000000"/>
  </w:font>
  <w:font w:name="DengXian">
    <w:altName w:val="Segoe Print"/>
    <w:panose1 w:val="00000000000000000000"/>
    <w:charset w:val="00"/>
    <w:family w:val="auto"/>
    <w:pitch w:val="default"/>
    <w:sig w:usb0="00000000" w:usb1="00000000" w:usb2="00000000" w:usb3="00000000" w:csb0="00000000" w:csb1="0000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9F0CCE">
    <w:pPr>
      <w:pStyle w:val="18"/>
      <w:spacing w:line="14" w:lineRule="auto"/>
      <w:ind w:left="0"/>
      <w:rPr>
        <w:sz w:val="20"/>
      </w:rPr>
    </w:pPr>
    <w:r>
      <w:rPr>
        <w:sz w:val="20"/>
      </w:rPr>
      <mc:AlternateContent>
        <mc:Choice Requires="wps">
          <w:drawing>
            <wp:anchor distT="0" distB="0" distL="0" distR="0" simplePos="0" relativeHeight="251660288" behindDoc="1" locked="0" layoutInCell="1" allowOverlap="1">
              <wp:simplePos x="0" y="0"/>
              <wp:positionH relativeFrom="page">
                <wp:posOffset>3729355</wp:posOffset>
              </wp:positionH>
              <wp:positionV relativeFrom="page">
                <wp:posOffset>9974580</wp:posOffset>
              </wp:positionV>
              <wp:extent cx="141605" cy="139700"/>
              <wp:effectExtent l="0" t="0" r="0" b="0"/>
              <wp:wrapNone/>
              <wp:docPr id="3" name="Textbox 3"/>
              <wp:cNvGraphicFramePr/>
              <a:graphic xmlns:a="http://schemas.openxmlformats.org/drawingml/2006/main">
                <a:graphicData uri="http://schemas.microsoft.com/office/word/2010/wordprocessingShape">
                  <wps:wsp>
                    <wps:cNvSpPr txBox="1"/>
                    <wps:spPr>
                      <a:xfrm>
                        <a:off x="0" y="0"/>
                        <a:ext cx="141605" cy="139700"/>
                      </a:xfrm>
                      <a:prstGeom prst="rect">
                        <a:avLst/>
                      </a:prstGeom>
                    </wps:spPr>
                    <wps:txbx>
                      <w:txbxContent>
                        <w:p w14:paraId="7FC56384">
                          <w:pPr>
                            <w:spacing w:line="220" w:lineRule="exact"/>
                            <w:ind w:left="20"/>
                            <w:rPr>
                              <w:sz w:val="18"/>
                            </w:rPr>
                          </w:pPr>
                          <w:r>
                            <w:rPr>
                              <w:spacing w:val="-5"/>
                              <w:sz w:val="18"/>
                            </w:rPr>
                            <w:fldChar w:fldCharType="begin"/>
                          </w:r>
                          <w:r>
                            <w:rPr>
                              <w:spacing w:val="-5"/>
                              <w:sz w:val="18"/>
                            </w:rPr>
                            <w:instrText xml:space="preserve"> PAGE </w:instrText>
                          </w:r>
                          <w:r>
                            <w:rPr>
                              <w:spacing w:val="-5"/>
                              <w:sz w:val="18"/>
                            </w:rPr>
                            <w:fldChar w:fldCharType="separate"/>
                          </w:r>
                          <w:r>
                            <w:rPr>
                              <w:spacing w:val="-5"/>
                              <w:sz w:val="18"/>
                            </w:rPr>
                            <w:t>10</w:t>
                          </w:r>
                          <w:r>
                            <w:rPr>
                              <w:spacing w:val="-5"/>
                              <w:sz w:val="18"/>
                            </w:rPr>
                            <w:fldChar w:fldCharType="end"/>
                          </w:r>
                        </w:p>
                      </w:txbxContent>
                    </wps:txbx>
                    <wps:bodyPr wrap="square" lIns="0" tIns="0" rIns="0" bIns="0" rtlCol="0">
                      <a:noAutofit/>
                    </wps:bodyPr>
                  </wps:wsp>
                </a:graphicData>
              </a:graphic>
            </wp:anchor>
          </w:drawing>
        </mc:Choice>
        <mc:Fallback>
          <w:pict>
            <v:shape id="Textbox 3" o:spid="_x0000_s1026" o:spt="202" type="#_x0000_t202" style="position:absolute;left:0pt;margin-left:293.65pt;margin-top:785.4pt;height:11pt;width:11.15pt;mso-position-horizontal-relative:page;mso-position-vertical-relative:page;z-index:-251656192;mso-width-relative:page;mso-height-relative:page;" filled="f" stroked="f" coordsize="21600,21600" o:gfxdata="UEsDBAoAAAAAAIdO4kAAAAAAAAAAAAAAAAAEAAAAZHJzL1BLAwQUAAAACACHTuJAeRnFsNsAAAAN&#10;AQAADwAAAGRycy9kb3ducmV2LnhtbE2PzU7DMBCE70h9B2srcaN2i5omIU6FEJyQEGk4cHRiN7Ea&#10;r0Ps/vD2bE/luDOfZmeK7cUN7GSmYD1KWC4EMIOt1xY7CV/120MKLESFWg0ejYRfE2Bbzu4KlWt/&#10;xsqcdrFjFIIhVxL6GMec89D2xqmw8KNB8vZ+cirSOXVcT+pM4W7gKyES7pRF+tCr0bz0pj3sjk7C&#10;8zdWr/bno/ms9pWt60zge3KQ8n6+FE/AornEGwzX+lQdSurU+CPqwAYJ63TzSCgZ642gEYQkIkuA&#10;NVcpW6XAy4L/X1H+AVBLAwQUAAAACACHTuJA7WgHkbIBAABzAwAADgAAAGRycy9lMm9Eb2MueG1s&#10;rVPBbtQwEL0j9R8s39lku1Ag2mxFWYGQEK3U8gGOY28sxR7j8W6yf8/YSbaoXHrg4ow94zfvvXG2&#10;t6Pt2UkFNOBqvl6VnCknoTXuUPNfT1/ffuQMo3Ct6MGpmp8V8tvd1Zvt4Ct1DR30rQqMQBxWg695&#10;F6OvigJlp6zAFXjlKKkhWBFpGw5FG8RA6LYvrsvyphggtD6AVIh0up+SfEYMrwEErY1Ue5BHq1yc&#10;UIPqRSRJ2BmPfJfZaq1kvNcaVWR9zUlpzCs1obhJa7HbiuoQhO+MnCmI11B4ockK46jpBWovomDH&#10;YP6BskYGQNBxJcEWk5DsCKlYly+8eeyEV1kLWY3+Yjr+P1j58/QQmGlrvuHMCUsDf1JjbGBkm2TO&#10;4LGimkdPVXG8g5GezHKOdJg0jzrY9CU1jPJk7fliLWExmS69W9+U7zmTlFpvPn0os/XF82UfMH5T&#10;YFkKah5octlQcfqBkYhQ6VJCm0Rrap+iODbjzLWB9kxUB5pozfH3UQTFWf/dkWVp/EsQlqBZghD7&#10;L5AfSZLi4PMxgja5c2ox4c6daRaZ0Pxu0rD/3ueq539l9w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B5GcWw2wAAAA0BAAAPAAAAAAAAAAEAIAAAACIAAABkcnMvZG93bnJldi54bWxQSwECFAAUAAAA&#10;CACHTuJA7WgHkbIBAABzAwAADgAAAAAAAAABACAAAAAqAQAAZHJzL2Uyb0RvYy54bWxQSwUGAAAA&#10;AAYABgBZAQAATgUAAAAA&#10;">
              <v:fill on="f" focussize="0,0"/>
              <v:stroke on="f"/>
              <v:imagedata o:title=""/>
              <o:lock v:ext="edit" aspectratio="f"/>
              <v:textbox inset="0mm,0mm,0mm,0mm">
                <w:txbxContent>
                  <w:p w14:paraId="7FC56384">
                    <w:pPr>
                      <w:spacing w:line="220" w:lineRule="exact"/>
                      <w:ind w:left="20"/>
                      <w:rPr>
                        <w:sz w:val="18"/>
                      </w:rPr>
                    </w:pPr>
                    <w:r>
                      <w:rPr>
                        <w:spacing w:val="-5"/>
                        <w:sz w:val="18"/>
                      </w:rPr>
                      <w:fldChar w:fldCharType="begin"/>
                    </w:r>
                    <w:r>
                      <w:rPr>
                        <w:spacing w:val="-5"/>
                        <w:sz w:val="18"/>
                      </w:rPr>
                      <w:instrText xml:space="preserve"> PAGE </w:instrText>
                    </w:r>
                    <w:r>
                      <w:rPr>
                        <w:spacing w:val="-5"/>
                        <w:sz w:val="18"/>
                      </w:rPr>
                      <w:fldChar w:fldCharType="separate"/>
                    </w:r>
                    <w:r>
                      <w:rPr>
                        <w:spacing w:val="-5"/>
                        <w:sz w:val="18"/>
                      </w:rPr>
                      <w:t>10</w:t>
                    </w:r>
                    <w:r>
                      <w:rPr>
                        <w:spacing w:val="-5"/>
                        <w:sz w:val="1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3CA71E1"/>
    <w:multiLevelType w:val="multilevel"/>
    <w:tmpl w:val="13CA71E1"/>
    <w:lvl w:ilvl="0" w:tentative="0">
      <w:start w:val="1"/>
      <w:numFmt w:val="decimal"/>
      <w:lvlText w:val="%1."/>
      <w:lvlJc w:val="left"/>
      <w:pPr>
        <w:ind w:left="915" w:hanging="213"/>
      </w:pPr>
      <w:rPr>
        <w:rFonts w:hint="default" w:ascii="宋体" w:hAnsi="宋体" w:eastAsia="宋体" w:cs="宋体"/>
        <w:b w:val="0"/>
        <w:bCs w:val="0"/>
        <w:i w:val="0"/>
        <w:iCs w:val="0"/>
        <w:spacing w:val="-1"/>
        <w:w w:val="100"/>
        <w:sz w:val="19"/>
        <w:szCs w:val="19"/>
        <w:lang w:val="en-US" w:eastAsia="zh-CN" w:bidi="ar-SA"/>
      </w:rPr>
    </w:lvl>
    <w:lvl w:ilvl="1" w:tentative="0">
      <w:start w:val="0"/>
      <w:numFmt w:val="bullet"/>
      <w:lvlText w:val="•"/>
      <w:lvlJc w:val="left"/>
      <w:pPr>
        <w:ind w:left="1806" w:hanging="213"/>
      </w:pPr>
      <w:rPr>
        <w:rFonts w:hint="default"/>
        <w:lang w:val="en-US" w:eastAsia="zh-CN" w:bidi="ar-SA"/>
      </w:rPr>
    </w:lvl>
    <w:lvl w:ilvl="2" w:tentative="0">
      <w:start w:val="0"/>
      <w:numFmt w:val="bullet"/>
      <w:lvlText w:val="•"/>
      <w:lvlJc w:val="left"/>
      <w:pPr>
        <w:ind w:left="2693" w:hanging="213"/>
      </w:pPr>
      <w:rPr>
        <w:rFonts w:hint="default"/>
        <w:lang w:val="en-US" w:eastAsia="zh-CN" w:bidi="ar-SA"/>
      </w:rPr>
    </w:lvl>
    <w:lvl w:ilvl="3" w:tentative="0">
      <w:start w:val="0"/>
      <w:numFmt w:val="bullet"/>
      <w:lvlText w:val="•"/>
      <w:lvlJc w:val="left"/>
      <w:pPr>
        <w:ind w:left="3579" w:hanging="213"/>
      </w:pPr>
      <w:rPr>
        <w:rFonts w:hint="default"/>
        <w:lang w:val="en-US" w:eastAsia="zh-CN" w:bidi="ar-SA"/>
      </w:rPr>
    </w:lvl>
    <w:lvl w:ilvl="4" w:tentative="0">
      <w:start w:val="0"/>
      <w:numFmt w:val="bullet"/>
      <w:lvlText w:val="•"/>
      <w:lvlJc w:val="left"/>
      <w:pPr>
        <w:ind w:left="4466" w:hanging="213"/>
      </w:pPr>
      <w:rPr>
        <w:rFonts w:hint="default"/>
        <w:lang w:val="en-US" w:eastAsia="zh-CN" w:bidi="ar-SA"/>
      </w:rPr>
    </w:lvl>
    <w:lvl w:ilvl="5" w:tentative="0">
      <w:start w:val="0"/>
      <w:numFmt w:val="bullet"/>
      <w:lvlText w:val="•"/>
      <w:lvlJc w:val="left"/>
      <w:pPr>
        <w:ind w:left="5353" w:hanging="213"/>
      </w:pPr>
      <w:rPr>
        <w:rFonts w:hint="default"/>
        <w:lang w:val="en-US" w:eastAsia="zh-CN" w:bidi="ar-SA"/>
      </w:rPr>
    </w:lvl>
    <w:lvl w:ilvl="6" w:tentative="0">
      <w:start w:val="0"/>
      <w:numFmt w:val="bullet"/>
      <w:lvlText w:val="•"/>
      <w:lvlJc w:val="left"/>
      <w:pPr>
        <w:ind w:left="6239" w:hanging="213"/>
      </w:pPr>
      <w:rPr>
        <w:rFonts w:hint="default"/>
        <w:lang w:val="en-US" w:eastAsia="zh-CN" w:bidi="ar-SA"/>
      </w:rPr>
    </w:lvl>
    <w:lvl w:ilvl="7" w:tentative="0">
      <w:start w:val="0"/>
      <w:numFmt w:val="bullet"/>
      <w:lvlText w:val="•"/>
      <w:lvlJc w:val="left"/>
      <w:pPr>
        <w:ind w:left="7126" w:hanging="213"/>
      </w:pPr>
      <w:rPr>
        <w:rFonts w:hint="default"/>
        <w:lang w:val="en-US" w:eastAsia="zh-CN" w:bidi="ar-SA"/>
      </w:rPr>
    </w:lvl>
    <w:lvl w:ilvl="8" w:tentative="0">
      <w:start w:val="0"/>
      <w:numFmt w:val="bullet"/>
      <w:lvlText w:val="•"/>
      <w:lvlJc w:val="left"/>
      <w:pPr>
        <w:ind w:left="8012" w:hanging="213"/>
      </w:pPr>
      <w:rPr>
        <w:rFonts w:hint="default"/>
        <w:lang w:val="en-US" w:eastAsia="zh-CN" w:bidi="ar-SA"/>
      </w:rPr>
    </w:lvl>
  </w:abstractNum>
  <w:abstractNum w:abstractNumId="1">
    <w:nsid w:val="16EC03E1"/>
    <w:multiLevelType w:val="multilevel"/>
    <w:tmpl w:val="16EC03E1"/>
    <w:lvl w:ilvl="0" w:tentative="0">
      <w:start w:val="1"/>
      <w:numFmt w:val="decimal"/>
      <w:lvlText w:val="%1."/>
      <w:lvlJc w:val="left"/>
      <w:pPr>
        <w:ind w:left="4972" w:hanging="244"/>
        <w:jc w:val="right"/>
      </w:pPr>
      <w:rPr>
        <w:rFonts w:hint="default" w:ascii="Times New Roman" w:hAnsi="Times New Roman" w:eastAsia="Times New Roman" w:cs="Times New Roman"/>
        <w:b/>
        <w:bCs/>
        <w:i w:val="0"/>
        <w:iCs w:val="0"/>
        <w:spacing w:val="0"/>
        <w:w w:val="124"/>
        <w:sz w:val="22"/>
        <w:szCs w:val="22"/>
        <w:lang w:val="en-US" w:eastAsia="zh-CN" w:bidi="ar-SA"/>
      </w:rPr>
    </w:lvl>
    <w:lvl w:ilvl="1" w:tentative="0">
      <w:start w:val="1"/>
      <w:numFmt w:val="decimal"/>
      <w:lvlText w:val="%1.%2"/>
      <w:lvlJc w:val="left"/>
      <w:pPr>
        <w:ind w:left="1109" w:hanging="370"/>
      </w:pPr>
      <w:rPr>
        <w:rFonts w:hint="default" w:ascii="Times New Roman" w:hAnsi="Times New Roman" w:eastAsia="Times New Roman" w:cs="Times New Roman"/>
        <w:b/>
        <w:bCs/>
        <w:i w:val="0"/>
        <w:iCs w:val="0"/>
        <w:spacing w:val="16"/>
        <w:w w:val="100"/>
        <w:sz w:val="19"/>
        <w:szCs w:val="19"/>
        <w:lang w:val="en-US" w:eastAsia="zh-CN" w:bidi="ar-SA"/>
      </w:rPr>
    </w:lvl>
    <w:lvl w:ilvl="2" w:tentative="0">
      <w:start w:val="1"/>
      <w:numFmt w:val="decimal"/>
      <w:lvlText w:val="%1.%2.%3"/>
      <w:lvlJc w:val="left"/>
      <w:pPr>
        <w:ind w:left="283" w:hanging="529"/>
      </w:pPr>
      <w:rPr>
        <w:rFonts w:hint="default" w:ascii="宋体" w:hAnsi="宋体" w:eastAsia="宋体" w:cs="宋体"/>
        <w:b w:val="0"/>
        <w:bCs w:val="0"/>
        <w:i w:val="0"/>
        <w:iCs w:val="0"/>
        <w:spacing w:val="-3"/>
        <w:w w:val="100"/>
        <w:sz w:val="19"/>
        <w:szCs w:val="19"/>
        <w:lang w:val="en-US" w:eastAsia="zh-CN" w:bidi="ar-SA"/>
      </w:rPr>
    </w:lvl>
    <w:lvl w:ilvl="3" w:tentative="0">
      <w:start w:val="0"/>
      <w:numFmt w:val="bullet"/>
      <w:lvlText w:val="•"/>
      <w:lvlJc w:val="left"/>
      <w:pPr>
        <w:ind w:left="1120" w:hanging="529"/>
      </w:pPr>
      <w:rPr>
        <w:rFonts w:hint="default"/>
        <w:lang w:val="en-US" w:eastAsia="zh-CN" w:bidi="ar-SA"/>
      </w:rPr>
    </w:lvl>
    <w:lvl w:ilvl="4" w:tentative="0">
      <w:start w:val="0"/>
      <w:numFmt w:val="bullet"/>
      <w:lvlText w:val="•"/>
      <w:lvlJc w:val="left"/>
      <w:pPr>
        <w:ind w:left="1240" w:hanging="529"/>
      </w:pPr>
      <w:rPr>
        <w:rFonts w:hint="default"/>
        <w:lang w:val="en-US" w:eastAsia="zh-CN" w:bidi="ar-SA"/>
      </w:rPr>
    </w:lvl>
    <w:lvl w:ilvl="5" w:tentative="0">
      <w:start w:val="0"/>
      <w:numFmt w:val="bullet"/>
      <w:lvlText w:val="•"/>
      <w:lvlJc w:val="left"/>
      <w:pPr>
        <w:ind w:left="1340" w:hanging="529"/>
      </w:pPr>
      <w:rPr>
        <w:rFonts w:hint="default"/>
        <w:lang w:val="en-US" w:eastAsia="zh-CN" w:bidi="ar-SA"/>
      </w:rPr>
    </w:lvl>
    <w:lvl w:ilvl="6" w:tentative="0">
      <w:start w:val="0"/>
      <w:numFmt w:val="bullet"/>
      <w:lvlText w:val="•"/>
      <w:lvlJc w:val="left"/>
      <w:pPr>
        <w:ind w:left="4980" w:hanging="529"/>
      </w:pPr>
      <w:rPr>
        <w:rFonts w:hint="default"/>
        <w:lang w:val="en-US" w:eastAsia="zh-CN" w:bidi="ar-SA"/>
      </w:rPr>
    </w:lvl>
    <w:lvl w:ilvl="7" w:tentative="0">
      <w:start w:val="0"/>
      <w:numFmt w:val="bullet"/>
      <w:lvlText w:val="•"/>
      <w:lvlJc w:val="left"/>
      <w:pPr>
        <w:ind w:left="6181" w:hanging="529"/>
      </w:pPr>
      <w:rPr>
        <w:rFonts w:hint="default"/>
        <w:lang w:val="en-US" w:eastAsia="zh-CN" w:bidi="ar-SA"/>
      </w:rPr>
    </w:lvl>
    <w:lvl w:ilvl="8" w:tentative="0">
      <w:start w:val="0"/>
      <w:numFmt w:val="bullet"/>
      <w:lvlText w:val="•"/>
      <w:lvlJc w:val="left"/>
      <w:pPr>
        <w:ind w:left="7383" w:hanging="529"/>
      </w:pPr>
      <w:rPr>
        <w:rFonts w:hint="default"/>
        <w:lang w:val="en-US" w:eastAsia="zh-CN" w:bidi="ar-SA"/>
      </w:rPr>
    </w:lvl>
  </w:abstractNum>
  <w:abstractNum w:abstractNumId="2">
    <w:nsid w:val="17D02AE8"/>
    <w:multiLevelType w:val="multilevel"/>
    <w:tmpl w:val="17D02AE8"/>
    <w:lvl w:ilvl="0" w:tentative="0">
      <w:start w:val="1"/>
      <w:numFmt w:val="decimal"/>
      <w:lvlText w:val="%1."/>
      <w:lvlJc w:val="left"/>
      <w:pPr>
        <w:ind w:left="319" w:hanging="213"/>
      </w:pPr>
      <w:rPr>
        <w:rFonts w:hint="default" w:ascii="宋体" w:hAnsi="宋体" w:eastAsia="宋体" w:cs="宋体"/>
        <w:b w:val="0"/>
        <w:bCs w:val="0"/>
        <w:i w:val="0"/>
        <w:iCs w:val="0"/>
        <w:spacing w:val="0"/>
        <w:w w:val="100"/>
        <w:sz w:val="19"/>
        <w:szCs w:val="19"/>
        <w:lang w:val="en-US" w:eastAsia="zh-CN" w:bidi="ar-SA"/>
      </w:rPr>
    </w:lvl>
    <w:lvl w:ilvl="1" w:tentative="0">
      <w:start w:val="0"/>
      <w:numFmt w:val="bullet"/>
      <w:lvlText w:val="•"/>
      <w:lvlJc w:val="left"/>
      <w:pPr>
        <w:ind w:left="905" w:hanging="213"/>
      </w:pPr>
      <w:rPr>
        <w:rFonts w:hint="default"/>
        <w:lang w:val="en-US" w:eastAsia="zh-CN" w:bidi="ar-SA"/>
      </w:rPr>
    </w:lvl>
    <w:lvl w:ilvl="2" w:tentative="0">
      <w:start w:val="0"/>
      <w:numFmt w:val="bullet"/>
      <w:lvlText w:val="•"/>
      <w:lvlJc w:val="left"/>
      <w:pPr>
        <w:ind w:left="1490" w:hanging="213"/>
      </w:pPr>
      <w:rPr>
        <w:rFonts w:hint="default"/>
        <w:lang w:val="en-US" w:eastAsia="zh-CN" w:bidi="ar-SA"/>
      </w:rPr>
    </w:lvl>
    <w:lvl w:ilvl="3" w:tentative="0">
      <w:start w:val="0"/>
      <w:numFmt w:val="bullet"/>
      <w:lvlText w:val="•"/>
      <w:lvlJc w:val="left"/>
      <w:pPr>
        <w:ind w:left="2075" w:hanging="213"/>
      </w:pPr>
      <w:rPr>
        <w:rFonts w:hint="default"/>
        <w:lang w:val="en-US" w:eastAsia="zh-CN" w:bidi="ar-SA"/>
      </w:rPr>
    </w:lvl>
    <w:lvl w:ilvl="4" w:tentative="0">
      <w:start w:val="0"/>
      <w:numFmt w:val="bullet"/>
      <w:lvlText w:val="•"/>
      <w:lvlJc w:val="left"/>
      <w:pPr>
        <w:ind w:left="2660" w:hanging="213"/>
      </w:pPr>
      <w:rPr>
        <w:rFonts w:hint="default"/>
        <w:lang w:val="en-US" w:eastAsia="zh-CN" w:bidi="ar-SA"/>
      </w:rPr>
    </w:lvl>
    <w:lvl w:ilvl="5" w:tentative="0">
      <w:start w:val="0"/>
      <w:numFmt w:val="bullet"/>
      <w:lvlText w:val="•"/>
      <w:lvlJc w:val="left"/>
      <w:pPr>
        <w:ind w:left="3245" w:hanging="213"/>
      </w:pPr>
      <w:rPr>
        <w:rFonts w:hint="default"/>
        <w:lang w:val="en-US" w:eastAsia="zh-CN" w:bidi="ar-SA"/>
      </w:rPr>
    </w:lvl>
    <w:lvl w:ilvl="6" w:tentative="0">
      <w:start w:val="0"/>
      <w:numFmt w:val="bullet"/>
      <w:lvlText w:val="•"/>
      <w:lvlJc w:val="left"/>
      <w:pPr>
        <w:ind w:left="3830" w:hanging="213"/>
      </w:pPr>
      <w:rPr>
        <w:rFonts w:hint="default"/>
        <w:lang w:val="en-US" w:eastAsia="zh-CN" w:bidi="ar-SA"/>
      </w:rPr>
    </w:lvl>
    <w:lvl w:ilvl="7" w:tentative="0">
      <w:start w:val="0"/>
      <w:numFmt w:val="bullet"/>
      <w:lvlText w:val="•"/>
      <w:lvlJc w:val="left"/>
      <w:pPr>
        <w:ind w:left="4415" w:hanging="213"/>
      </w:pPr>
      <w:rPr>
        <w:rFonts w:hint="default"/>
        <w:lang w:val="en-US" w:eastAsia="zh-CN" w:bidi="ar-SA"/>
      </w:rPr>
    </w:lvl>
    <w:lvl w:ilvl="8" w:tentative="0">
      <w:start w:val="0"/>
      <w:numFmt w:val="bullet"/>
      <w:lvlText w:val="•"/>
      <w:lvlJc w:val="left"/>
      <w:pPr>
        <w:ind w:left="5000" w:hanging="213"/>
      </w:pPr>
      <w:rPr>
        <w:rFonts w:hint="default"/>
        <w:lang w:val="en-US" w:eastAsia="zh-CN" w:bidi="ar-SA"/>
      </w:rPr>
    </w:lvl>
  </w:abstractNum>
  <w:abstractNum w:abstractNumId="3">
    <w:nsid w:val="186462DF"/>
    <w:multiLevelType w:val="multilevel"/>
    <w:tmpl w:val="186462DF"/>
    <w:lvl w:ilvl="0" w:tentative="0">
      <w:start w:val="1"/>
      <w:numFmt w:val="decimal"/>
      <w:lvlText w:val="%1."/>
      <w:lvlJc w:val="left"/>
      <w:pPr>
        <w:ind w:left="106" w:hanging="213"/>
      </w:pPr>
      <w:rPr>
        <w:rFonts w:hint="default" w:ascii="宋体" w:hAnsi="宋体" w:eastAsia="宋体" w:cs="宋体"/>
        <w:b w:val="0"/>
        <w:bCs w:val="0"/>
        <w:i w:val="0"/>
        <w:iCs w:val="0"/>
        <w:spacing w:val="0"/>
        <w:w w:val="100"/>
        <w:sz w:val="19"/>
        <w:szCs w:val="19"/>
        <w:lang w:val="en-US" w:eastAsia="zh-CN" w:bidi="ar-SA"/>
      </w:rPr>
    </w:lvl>
    <w:lvl w:ilvl="1" w:tentative="0">
      <w:start w:val="0"/>
      <w:numFmt w:val="bullet"/>
      <w:lvlText w:val="•"/>
      <w:lvlJc w:val="left"/>
      <w:pPr>
        <w:ind w:left="707" w:hanging="213"/>
      </w:pPr>
      <w:rPr>
        <w:rFonts w:hint="default"/>
        <w:lang w:val="en-US" w:eastAsia="zh-CN" w:bidi="ar-SA"/>
      </w:rPr>
    </w:lvl>
    <w:lvl w:ilvl="2" w:tentative="0">
      <w:start w:val="0"/>
      <w:numFmt w:val="bullet"/>
      <w:lvlText w:val="•"/>
      <w:lvlJc w:val="left"/>
      <w:pPr>
        <w:ind w:left="1314" w:hanging="213"/>
      </w:pPr>
      <w:rPr>
        <w:rFonts w:hint="default"/>
        <w:lang w:val="en-US" w:eastAsia="zh-CN" w:bidi="ar-SA"/>
      </w:rPr>
    </w:lvl>
    <w:lvl w:ilvl="3" w:tentative="0">
      <w:start w:val="0"/>
      <w:numFmt w:val="bullet"/>
      <w:lvlText w:val="•"/>
      <w:lvlJc w:val="left"/>
      <w:pPr>
        <w:ind w:left="1921" w:hanging="213"/>
      </w:pPr>
      <w:rPr>
        <w:rFonts w:hint="default"/>
        <w:lang w:val="en-US" w:eastAsia="zh-CN" w:bidi="ar-SA"/>
      </w:rPr>
    </w:lvl>
    <w:lvl w:ilvl="4" w:tentative="0">
      <w:start w:val="0"/>
      <w:numFmt w:val="bullet"/>
      <w:lvlText w:val="•"/>
      <w:lvlJc w:val="left"/>
      <w:pPr>
        <w:ind w:left="2528" w:hanging="213"/>
      </w:pPr>
      <w:rPr>
        <w:rFonts w:hint="default"/>
        <w:lang w:val="en-US" w:eastAsia="zh-CN" w:bidi="ar-SA"/>
      </w:rPr>
    </w:lvl>
    <w:lvl w:ilvl="5" w:tentative="0">
      <w:start w:val="0"/>
      <w:numFmt w:val="bullet"/>
      <w:lvlText w:val="•"/>
      <w:lvlJc w:val="left"/>
      <w:pPr>
        <w:ind w:left="3135" w:hanging="213"/>
      </w:pPr>
      <w:rPr>
        <w:rFonts w:hint="default"/>
        <w:lang w:val="en-US" w:eastAsia="zh-CN" w:bidi="ar-SA"/>
      </w:rPr>
    </w:lvl>
    <w:lvl w:ilvl="6" w:tentative="0">
      <w:start w:val="0"/>
      <w:numFmt w:val="bullet"/>
      <w:lvlText w:val="•"/>
      <w:lvlJc w:val="left"/>
      <w:pPr>
        <w:ind w:left="3742" w:hanging="213"/>
      </w:pPr>
      <w:rPr>
        <w:rFonts w:hint="default"/>
        <w:lang w:val="en-US" w:eastAsia="zh-CN" w:bidi="ar-SA"/>
      </w:rPr>
    </w:lvl>
    <w:lvl w:ilvl="7" w:tentative="0">
      <w:start w:val="0"/>
      <w:numFmt w:val="bullet"/>
      <w:lvlText w:val="•"/>
      <w:lvlJc w:val="left"/>
      <w:pPr>
        <w:ind w:left="4349" w:hanging="213"/>
      </w:pPr>
      <w:rPr>
        <w:rFonts w:hint="default"/>
        <w:lang w:val="en-US" w:eastAsia="zh-CN" w:bidi="ar-SA"/>
      </w:rPr>
    </w:lvl>
    <w:lvl w:ilvl="8" w:tentative="0">
      <w:start w:val="0"/>
      <w:numFmt w:val="bullet"/>
      <w:lvlText w:val="•"/>
      <w:lvlJc w:val="left"/>
      <w:pPr>
        <w:ind w:left="4956" w:hanging="213"/>
      </w:pPr>
      <w:rPr>
        <w:rFonts w:hint="default"/>
        <w:lang w:val="en-US" w:eastAsia="zh-CN" w:bidi="ar-SA"/>
      </w:rPr>
    </w:lvl>
  </w:abstractNum>
  <w:abstractNum w:abstractNumId="4">
    <w:nsid w:val="53E1EF69"/>
    <w:multiLevelType w:val="singleLevel"/>
    <w:tmpl w:val="53E1EF69"/>
    <w:lvl w:ilvl="0" w:tentative="0">
      <w:start w:val="6"/>
      <w:numFmt w:val="decimal"/>
      <w:suff w:val="nothing"/>
      <w:lvlText w:val="%1."/>
      <w:lvlJc w:val="left"/>
    </w:lvl>
  </w:abstractNum>
  <w:abstractNum w:abstractNumId="5">
    <w:nsid w:val="5539A5C2"/>
    <w:multiLevelType w:val="singleLevel"/>
    <w:tmpl w:val="5539A5C2"/>
    <w:lvl w:ilvl="0" w:tentative="0">
      <w:start w:val="18"/>
      <w:numFmt w:val="decimal"/>
      <w:suff w:val="space"/>
      <w:lvlText w:val="%1."/>
      <w:lvlJc w:val="left"/>
    </w:lvl>
  </w:abstractNum>
  <w:abstractNum w:abstractNumId="6">
    <w:nsid w:val="61E0183A"/>
    <w:multiLevelType w:val="multilevel"/>
    <w:tmpl w:val="61E0183A"/>
    <w:lvl w:ilvl="0" w:tentative="0">
      <w:start w:val="1"/>
      <w:numFmt w:val="decimal"/>
      <w:lvlText w:val="%1."/>
      <w:lvlJc w:val="left"/>
      <w:pPr>
        <w:ind w:left="283" w:hanging="214"/>
      </w:pPr>
      <w:rPr>
        <w:rFonts w:hint="default" w:ascii="宋体" w:hAnsi="宋体" w:eastAsia="宋体" w:cs="宋体"/>
        <w:b w:val="0"/>
        <w:bCs w:val="0"/>
        <w:i w:val="0"/>
        <w:iCs w:val="0"/>
        <w:spacing w:val="0"/>
        <w:w w:val="100"/>
        <w:sz w:val="19"/>
        <w:szCs w:val="19"/>
        <w:lang w:val="en-US" w:eastAsia="zh-CN" w:bidi="ar-SA"/>
      </w:rPr>
    </w:lvl>
    <w:lvl w:ilvl="1" w:tentative="0">
      <w:start w:val="0"/>
      <w:numFmt w:val="bullet"/>
      <w:lvlText w:val="•"/>
      <w:lvlJc w:val="left"/>
      <w:pPr>
        <w:ind w:left="1230" w:hanging="214"/>
      </w:pPr>
      <w:rPr>
        <w:rFonts w:hint="default"/>
        <w:lang w:val="en-US" w:eastAsia="zh-CN" w:bidi="ar-SA"/>
      </w:rPr>
    </w:lvl>
    <w:lvl w:ilvl="2" w:tentative="0">
      <w:start w:val="0"/>
      <w:numFmt w:val="bullet"/>
      <w:lvlText w:val="•"/>
      <w:lvlJc w:val="left"/>
      <w:pPr>
        <w:ind w:left="2181" w:hanging="214"/>
      </w:pPr>
      <w:rPr>
        <w:rFonts w:hint="default"/>
        <w:lang w:val="en-US" w:eastAsia="zh-CN" w:bidi="ar-SA"/>
      </w:rPr>
    </w:lvl>
    <w:lvl w:ilvl="3" w:tentative="0">
      <w:start w:val="0"/>
      <w:numFmt w:val="bullet"/>
      <w:lvlText w:val="•"/>
      <w:lvlJc w:val="left"/>
      <w:pPr>
        <w:ind w:left="3131" w:hanging="214"/>
      </w:pPr>
      <w:rPr>
        <w:rFonts w:hint="default"/>
        <w:lang w:val="en-US" w:eastAsia="zh-CN" w:bidi="ar-SA"/>
      </w:rPr>
    </w:lvl>
    <w:lvl w:ilvl="4" w:tentative="0">
      <w:start w:val="0"/>
      <w:numFmt w:val="bullet"/>
      <w:lvlText w:val="•"/>
      <w:lvlJc w:val="left"/>
      <w:pPr>
        <w:ind w:left="4082" w:hanging="214"/>
      </w:pPr>
      <w:rPr>
        <w:rFonts w:hint="default"/>
        <w:lang w:val="en-US" w:eastAsia="zh-CN" w:bidi="ar-SA"/>
      </w:rPr>
    </w:lvl>
    <w:lvl w:ilvl="5" w:tentative="0">
      <w:start w:val="0"/>
      <w:numFmt w:val="bullet"/>
      <w:lvlText w:val="•"/>
      <w:lvlJc w:val="left"/>
      <w:pPr>
        <w:ind w:left="5033" w:hanging="214"/>
      </w:pPr>
      <w:rPr>
        <w:rFonts w:hint="default"/>
        <w:lang w:val="en-US" w:eastAsia="zh-CN" w:bidi="ar-SA"/>
      </w:rPr>
    </w:lvl>
    <w:lvl w:ilvl="6" w:tentative="0">
      <w:start w:val="0"/>
      <w:numFmt w:val="bullet"/>
      <w:lvlText w:val="•"/>
      <w:lvlJc w:val="left"/>
      <w:pPr>
        <w:ind w:left="5983" w:hanging="214"/>
      </w:pPr>
      <w:rPr>
        <w:rFonts w:hint="default"/>
        <w:lang w:val="en-US" w:eastAsia="zh-CN" w:bidi="ar-SA"/>
      </w:rPr>
    </w:lvl>
    <w:lvl w:ilvl="7" w:tentative="0">
      <w:start w:val="0"/>
      <w:numFmt w:val="bullet"/>
      <w:lvlText w:val="•"/>
      <w:lvlJc w:val="left"/>
      <w:pPr>
        <w:ind w:left="6934" w:hanging="214"/>
      </w:pPr>
      <w:rPr>
        <w:rFonts w:hint="default"/>
        <w:lang w:val="en-US" w:eastAsia="zh-CN" w:bidi="ar-SA"/>
      </w:rPr>
    </w:lvl>
    <w:lvl w:ilvl="8" w:tentative="0">
      <w:start w:val="0"/>
      <w:numFmt w:val="bullet"/>
      <w:lvlText w:val="•"/>
      <w:lvlJc w:val="left"/>
      <w:pPr>
        <w:ind w:left="7884" w:hanging="214"/>
      </w:pPr>
      <w:rPr>
        <w:rFonts w:hint="default"/>
        <w:lang w:val="en-US" w:eastAsia="zh-CN" w:bidi="ar-SA"/>
      </w:rPr>
    </w:lvl>
  </w:abstractNum>
  <w:abstractNum w:abstractNumId="7">
    <w:nsid w:val="66AC13AA"/>
    <w:multiLevelType w:val="multilevel"/>
    <w:tmpl w:val="66AC13AA"/>
    <w:lvl w:ilvl="0" w:tentative="0">
      <w:start w:val="1"/>
      <w:numFmt w:val="decimal"/>
      <w:lvlText w:val="%1."/>
      <w:lvlJc w:val="left"/>
      <w:pPr>
        <w:ind w:left="106" w:hanging="213"/>
      </w:pPr>
      <w:rPr>
        <w:rFonts w:hint="default" w:ascii="宋体" w:hAnsi="宋体" w:eastAsia="宋体" w:cs="宋体"/>
        <w:b w:val="0"/>
        <w:bCs w:val="0"/>
        <w:i w:val="0"/>
        <w:iCs w:val="0"/>
        <w:spacing w:val="0"/>
        <w:w w:val="100"/>
        <w:sz w:val="19"/>
        <w:szCs w:val="19"/>
        <w:lang w:val="en-US" w:eastAsia="zh-CN" w:bidi="ar-SA"/>
      </w:rPr>
    </w:lvl>
    <w:lvl w:ilvl="1" w:tentative="0">
      <w:start w:val="0"/>
      <w:numFmt w:val="bullet"/>
      <w:lvlText w:val="•"/>
      <w:lvlJc w:val="left"/>
      <w:pPr>
        <w:ind w:left="707" w:hanging="213"/>
      </w:pPr>
      <w:rPr>
        <w:rFonts w:hint="default"/>
        <w:lang w:val="en-US" w:eastAsia="zh-CN" w:bidi="ar-SA"/>
      </w:rPr>
    </w:lvl>
    <w:lvl w:ilvl="2" w:tentative="0">
      <w:start w:val="0"/>
      <w:numFmt w:val="bullet"/>
      <w:lvlText w:val="•"/>
      <w:lvlJc w:val="left"/>
      <w:pPr>
        <w:ind w:left="1314" w:hanging="213"/>
      </w:pPr>
      <w:rPr>
        <w:rFonts w:hint="default"/>
        <w:lang w:val="en-US" w:eastAsia="zh-CN" w:bidi="ar-SA"/>
      </w:rPr>
    </w:lvl>
    <w:lvl w:ilvl="3" w:tentative="0">
      <w:start w:val="0"/>
      <w:numFmt w:val="bullet"/>
      <w:lvlText w:val="•"/>
      <w:lvlJc w:val="left"/>
      <w:pPr>
        <w:ind w:left="1921" w:hanging="213"/>
      </w:pPr>
      <w:rPr>
        <w:rFonts w:hint="default"/>
        <w:lang w:val="en-US" w:eastAsia="zh-CN" w:bidi="ar-SA"/>
      </w:rPr>
    </w:lvl>
    <w:lvl w:ilvl="4" w:tentative="0">
      <w:start w:val="0"/>
      <w:numFmt w:val="bullet"/>
      <w:lvlText w:val="•"/>
      <w:lvlJc w:val="left"/>
      <w:pPr>
        <w:ind w:left="2528" w:hanging="213"/>
      </w:pPr>
      <w:rPr>
        <w:rFonts w:hint="default"/>
        <w:lang w:val="en-US" w:eastAsia="zh-CN" w:bidi="ar-SA"/>
      </w:rPr>
    </w:lvl>
    <w:lvl w:ilvl="5" w:tentative="0">
      <w:start w:val="0"/>
      <w:numFmt w:val="bullet"/>
      <w:lvlText w:val="•"/>
      <w:lvlJc w:val="left"/>
      <w:pPr>
        <w:ind w:left="3135" w:hanging="213"/>
      </w:pPr>
      <w:rPr>
        <w:rFonts w:hint="default"/>
        <w:lang w:val="en-US" w:eastAsia="zh-CN" w:bidi="ar-SA"/>
      </w:rPr>
    </w:lvl>
    <w:lvl w:ilvl="6" w:tentative="0">
      <w:start w:val="0"/>
      <w:numFmt w:val="bullet"/>
      <w:lvlText w:val="•"/>
      <w:lvlJc w:val="left"/>
      <w:pPr>
        <w:ind w:left="3742" w:hanging="213"/>
      </w:pPr>
      <w:rPr>
        <w:rFonts w:hint="default"/>
        <w:lang w:val="en-US" w:eastAsia="zh-CN" w:bidi="ar-SA"/>
      </w:rPr>
    </w:lvl>
    <w:lvl w:ilvl="7" w:tentative="0">
      <w:start w:val="0"/>
      <w:numFmt w:val="bullet"/>
      <w:lvlText w:val="•"/>
      <w:lvlJc w:val="left"/>
      <w:pPr>
        <w:ind w:left="4349" w:hanging="213"/>
      </w:pPr>
      <w:rPr>
        <w:rFonts w:hint="default"/>
        <w:lang w:val="en-US" w:eastAsia="zh-CN" w:bidi="ar-SA"/>
      </w:rPr>
    </w:lvl>
    <w:lvl w:ilvl="8" w:tentative="0">
      <w:start w:val="0"/>
      <w:numFmt w:val="bullet"/>
      <w:lvlText w:val="•"/>
      <w:lvlJc w:val="left"/>
      <w:pPr>
        <w:ind w:left="4956" w:hanging="213"/>
      </w:pPr>
      <w:rPr>
        <w:rFonts w:hint="default"/>
        <w:lang w:val="en-US" w:eastAsia="zh-CN" w:bidi="ar-SA"/>
      </w:rPr>
    </w:lvl>
  </w:abstractNum>
  <w:num w:numId="1">
    <w:abstractNumId w:val="1"/>
  </w:num>
  <w:num w:numId="2">
    <w:abstractNumId w:val="6"/>
  </w:num>
  <w:num w:numId="3">
    <w:abstractNumId w:val="7"/>
  </w:num>
  <w:num w:numId="4">
    <w:abstractNumId w:val="2"/>
  </w:num>
  <w:num w:numId="5">
    <w:abstractNumId w:val="3"/>
  </w:num>
  <w:num w:numId="6">
    <w:abstractNumId w:val="4"/>
  </w:num>
  <w:num w:numId="7">
    <w:abstractNumId w:val="5"/>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3"/>
  <w:bordersDoNotSurroundHeader w:val="1"/>
  <w:bordersDoNotSurroundFooter w:val="1"/>
  <w:documentProtection w:edit="trackedChanges" w:enforcement="0"/>
  <w:defaultTabStop w:val="720"/>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31BC"/>
    <w:rsid w:val="0004159D"/>
    <w:rsid w:val="00097F0E"/>
    <w:rsid w:val="00161410"/>
    <w:rsid w:val="00200EBB"/>
    <w:rsid w:val="00201742"/>
    <w:rsid w:val="00227773"/>
    <w:rsid w:val="00254181"/>
    <w:rsid w:val="00284781"/>
    <w:rsid w:val="002E67A8"/>
    <w:rsid w:val="00312ADE"/>
    <w:rsid w:val="00312D1A"/>
    <w:rsid w:val="003A612F"/>
    <w:rsid w:val="003D3CB0"/>
    <w:rsid w:val="00407FB4"/>
    <w:rsid w:val="00456900"/>
    <w:rsid w:val="00544ED7"/>
    <w:rsid w:val="00577BF5"/>
    <w:rsid w:val="006A4139"/>
    <w:rsid w:val="006C15A6"/>
    <w:rsid w:val="00741BB5"/>
    <w:rsid w:val="007B75A2"/>
    <w:rsid w:val="007E0C81"/>
    <w:rsid w:val="007F0A00"/>
    <w:rsid w:val="00823911"/>
    <w:rsid w:val="00862D19"/>
    <w:rsid w:val="00884BD5"/>
    <w:rsid w:val="008E53BF"/>
    <w:rsid w:val="00955368"/>
    <w:rsid w:val="009D0832"/>
    <w:rsid w:val="009D5BD8"/>
    <w:rsid w:val="00A22166"/>
    <w:rsid w:val="00AC008D"/>
    <w:rsid w:val="00B857A7"/>
    <w:rsid w:val="00BD4812"/>
    <w:rsid w:val="00C42843"/>
    <w:rsid w:val="00CC05AD"/>
    <w:rsid w:val="00D022C1"/>
    <w:rsid w:val="00D05D8A"/>
    <w:rsid w:val="00D556EE"/>
    <w:rsid w:val="00D5665D"/>
    <w:rsid w:val="00D90529"/>
    <w:rsid w:val="00D9144F"/>
    <w:rsid w:val="00D979D7"/>
    <w:rsid w:val="00DE7998"/>
    <w:rsid w:val="00E44CC7"/>
    <w:rsid w:val="00E86FEF"/>
    <w:rsid w:val="00EB31BC"/>
    <w:rsid w:val="00EB34C8"/>
    <w:rsid w:val="00EB3AE0"/>
    <w:rsid w:val="00ED0EA1"/>
    <w:rsid w:val="00F24255"/>
    <w:rsid w:val="00F86143"/>
    <w:rsid w:val="6FD306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semiHidden="0" w:name="heading 5"/>
    <w:lsdException w:qFormat="1"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99" w:name="index 2"/>
    <w:lsdException w:uiPriority="99" w:name="index 3"/>
    <w:lsdException w:qFormat="1" w:unhideWhenUsed="0" w:uiPriority="0" w:semiHidden="0" w:name="index 4"/>
    <w:lsdException w:qFormat="1" w:unhideWhenUsed="0" w:uiPriority="0" w:semiHidden="0"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uiPriority="99" w:name="footnote text"/>
    <w:lsdException w:qFormat="1" w:uiPriority="0" w:semiHidden="0" w:name="annotation text"/>
    <w:lsdException w:qFormat="1" w:uiPriority="0" w:semiHidden="0" w:name="header"/>
    <w:lsdException w:qFormat="1" w:uiPriority="0" w:semiHidden="0" w:name="footer"/>
    <w:lsdException w:uiPriority="99" w:name="index heading"/>
    <w:lsdException w:qFormat="1" w:unhideWhenUsed="0" w:uiPriority="0" w:semiHidden="0" w:name="caption"/>
    <w:lsdException w:uiPriority="99" w:name="table of figures"/>
    <w:lsdException w:uiPriority="99" w:name="envelope address"/>
    <w:lsdException w:qFormat="1" w:unhideWhenUsed="0" w:uiPriority="0" w:semiHidden="0" w:name="envelope return"/>
    <w:lsdException w:uiPriority="99" w:name="footnote reference"/>
    <w:lsdException w:qFormat="1"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iPriority="0" w:semiHidden="0" w:name="Date"/>
    <w:lsdException w:uiPriority="99" w:name="Body Text First Indent"/>
    <w:lsdException w:qFormat="1"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iPriority="0" w:semiHidden="0" w:name="Body Text Indent 2"/>
    <w:lsdException w:qFormat="1" w:unhideWhenUsed="0" w:uiPriority="0" w:semiHidden="0" w:name="Body Text Indent 3"/>
    <w:lsdException w:qFormat="1" w:unhideWhenUsed="0" w:uiPriority="0" w:semiHidden="0" w:name="Block Text"/>
    <w:lsdException w:qFormat="1" w:uiPriority="99" w:semiHidden="0" w:name="Hyperlink"/>
    <w:lsdException w:qFormat="1"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qFormat="1" w:unhideWhenUsed="0" w:uiPriority="99" w:semiHidden="0" w:name="HTML Acronym"/>
    <w:lsdException w:uiPriority="99" w:name="HTML Address"/>
    <w:lsdException w:qFormat="1" w:unhideWhenUsed="0" w:uiPriority="99" w:semiHidden="0" w:name="HTML Cite"/>
    <w:lsdException w:qFormat="1" w:unhideWhenUsed="0" w:uiPriority="99" w:semiHidden="0" w:name="HTML Code"/>
    <w:lsdException w:qFormat="1" w:unhideWhenUsed="0" w:uiPriority="99" w:semiHidden="0" w:name="HTML Definition"/>
    <w:lsdException w:qFormat="1" w:unhideWhenUsed="0" w:uiPriority="99" w:semiHidden="0" w:name="HTML Keyboard"/>
    <w:lsdException w:uiPriority="99" w:name="HTML Preformatted"/>
    <w:lsdException w:qFormat="1" w:unhideWhenUsed="0" w:uiPriority="99" w:semiHidden="0" w:name="HTML Sample"/>
    <w:lsdException w:qFormat="1" w:unhideWhenUsed="0" w:uiPriority="99" w:semiHidden="0" w:name="HTML Typewriter"/>
    <w:lsdException w:qFormat="1" w:unhideWhenUsed="0" w:uiPriority="99" w:semiHidden="0"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qFormat="1" w:unhideWhenUsed="0" w:uiPriority="0" w:semiHidden="0" w:name="Quote"/>
    <w:lsdException w:qFormat="1" w:unhideWhenUsed="0" w:uiPriority="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utoSpaceDE w:val="0"/>
      <w:autoSpaceDN w:val="0"/>
    </w:pPr>
    <w:rPr>
      <w:rFonts w:ascii="宋体" w:hAnsi="宋体" w:eastAsia="宋体" w:cs="宋体"/>
      <w:sz w:val="22"/>
      <w:szCs w:val="22"/>
      <w:lang w:val="en-US" w:eastAsia="zh-CN" w:bidi="ar-SA"/>
    </w:rPr>
  </w:style>
  <w:style w:type="paragraph" w:styleId="2">
    <w:name w:val="heading 1"/>
    <w:basedOn w:val="1"/>
    <w:link w:val="62"/>
    <w:qFormat/>
    <w:uiPriority w:val="0"/>
    <w:pPr>
      <w:spacing w:line="576" w:lineRule="exact"/>
      <w:ind w:right="84"/>
      <w:jc w:val="center"/>
      <w:outlineLvl w:val="0"/>
    </w:pPr>
    <w:rPr>
      <w:rFonts w:ascii="Microsoft JhengHei" w:hAnsi="Microsoft JhengHei" w:eastAsia="Microsoft JhengHei" w:cs="Microsoft JhengHei"/>
      <w:b/>
      <w:bCs/>
      <w:sz w:val="36"/>
      <w:szCs w:val="36"/>
    </w:rPr>
  </w:style>
  <w:style w:type="paragraph" w:styleId="3">
    <w:name w:val="heading 2"/>
    <w:basedOn w:val="1"/>
    <w:link w:val="63"/>
    <w:unhideWhenUsed/>
    <w:qFormat/>
    <w:uiPriority w:val="0"/>
    <w:pPr>
      <w:spacing w:before="461"/>
      <w:ind w:left="283"/>
      <w:outlineLvl w:val="1"/>
    </w:pPr>
    <w:rPr>
      <w:sz w:val="36"/>
      <w:szCs w:val="36"/>
    </w:rPr>
  </w:style>
  <w:style w:type="paragraph" w:styleId="4">
    <w:name w:val="heading 3"/>
    <w:basedOn w:val="1"/>
    <w:link w:val="64"/>
    <w:unhideWhenUsed/>
    <w:qFormat/>
    <w:uiPriority w:val="0"/>
    <w:pPr>
      <w:outlineLvl w:val="2"/>
    </w:pPr>
    <w:rPr>
      <w:rFonts w:ascii="Microsoft JhengHei" w:hAnsi="Microsoft JhengHei" w:eastAsia="Microsoft JhengHei" w:cs="Microsoft JhengHei"/>
      <w:b/>
      <w:bCs/>
      <w:sz w:val="32"/>
      <w:szCs w:val="32"/>
    </w:rPr>
  </w:style>
  <w:style w:type="paragraph" w:styleId="5">
    <w:name w:val="heading 4"/>
    <w:basedOn w:val="1"/>
    <w:link w:val="65"/>
    <w:unhideWhenUsed/>
    <w:qFormat/>
    <w:uiPriority w:val="0"/>
    <w:pPr>
      <w:spacing w:line="474" w:lineRule="exact"/>
      <w:ind w:right="84"/>
      <w:jc w:val="center"/>
      <w:outlineLvl w:val="3"/>
    </w:pPr>
    <w:rPr>
      <w:rFonts w:ascii="Microsoft JhengHei" w:hAnsi="Microsoft JhengHei" w:eastAsia="Microsoft JhengHei" w:cs="Microsoft JhengHei"/>
      <w:b/>
      <w:bCs/>
      <w:sz w:val="28"/>
      <w:szCs w:val="28"/>
    </w:rPr>
  </w:style>
  <w:style w:type="paragraph" w:styleId="6">
    <w:name w:val="heading 5"/>
    <w:basedOn w:val="1"/>
    <w:link w:val="66"/>
    <w:unhideWhenUsed/>
    <w:qFormat/>
    <w:uiPriority w:val="0"/>
    <w:pPr>
      <w:spacing w:before="51"/>
      <w:ind w:right="86"/>
      <w:jc w:val="center"/>
      <w:outlineLvl w:val="4"/>
    </w:pPr>
    <w:rPr>
      <w:sz w:val="28"/>
      <w:szCs w:val="28"/>
    </w:rPr>
  </w:style>
  <w:style w:type="paragraph" w:styleId="7">
    <w:name w:val="heading 6"/>
    <w:basedOn w:val="1"/>
    <w:link w:val="67"/>
    <w:unhideWhenUsed/>
    <w:qFormat/>
    <w:uiPriority w:val="0"/>
    <w:pPr>
      <w:spacing w:line="415" w:lineRule="exact"/>
      <w:outlineLvl w:val="5"/>
    </w:pPr>
    <w:rPr>
      <w:rFonts w:ascii="Microsoft JhengHei" w:hAnsi="Microsoft JhengHei" w:eastAsia="Microsoft JhengHei" w:cs="Microsoft JhengHei"/>
      <w:b/>
      <w:bCs/>
      <w:sz w:val="24"/>
      <w:szCs w:val="24"/>
    </w:rPr>
  </w:style>
  <w:style w:type="paragraph" w:styleId="8">
    <w:name w:val="heading 7"/>
    <w:basedOn w:val="1"/>
    <w:link w:val="68"/>
    <w:qFormat/>
    <w:uiPriority w:val="0"/>
    <w:pPr>
      <w:ind w:left="283"/>
      <w:outlineLvl w:val="6"/>
    </w:pPr>
    <w:rPr>
      <w:rFonts w:ascii="Microsoft JhengHei" w:hAnsi="Microsoft JhengHei" w:eastAsia="Microsoft JhengHei" w:cs="Microsoft JhengHei"/>
      <w:b/>
      <w:bCs/>
    </w:rPr>
  </w:style>
  <w:style w:type="paragraph" w:styleId="9">
    <w:name w:val="heading 8"/>
    <w:basedOn w:val="1"/>
    <w:link w:val="69"/>
    <w:qFormat/>
    <w:uiPriority w:val="0"/>
    <w:pPr>
      <w:ind w:left="283"/>
      <w:outlineLvl w:val="7"/>
    </w:pPr>
  </w:style>
  <w:style w:type="paragraph" w:styleId="10">
    <w:name w:val="heading 9"/>
    <w:basedOn w:val="1"/>
    <w:link w:val="70"/>
    <w:qFormat/>
    <w:uiPriority w:val="0"/>
    <w:pPr>
      <w:ind w:left="1020" w:hanging="315"/>
      <w:outlineLvl w:val="8"/>
    </w:pPr>
    <w:rPr>
      <w:rFonts w:ascii="Microsoft JhengHei" w:hAnsi="Microsoft JhengHei" w:eastAsia="Microsoft JhengHei" w:cs="Microsoft JhengHei"/>
      <w:b/>
      <w:bCs/>
      <w:sz w:val="21"/>
      <w:szCs w:val="21"/>
    </w:rPr>
  </w:style>
  <w:style w:type="character" w:default="1" w:styleId="47">
    <w:name w:val="Default Paragraph Font"/>
    <w:semiHidden/>
    <w:unhideWhenUsed/>
    <w:qFormat/>
    <w:uiPriority w:val="1"/>
  </w:style>
  <w:style w:type="table" w:default="1" w:styleId="46">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unhideWhenUsed/>
    <w:qFormat/>
    <w:uiPriority w:val="39"/>
    <w:pPr>
      <w:autoSpaceDE/>
      <w:autoSpaceDN/>
      <w:ind w:left="2520" w:leftChars="1200"/>
      <w:jc w:val="both"/>
    </w:pPr>
    <w:rPr>
      <w:rFonts w:ascii="Calibri" w:hAnsi="Calibri" w:cs="Times New Roman"/>
      <w:kern w:val="2"/>
      <w:sz w:val="21"/>
    </w:rPr>
  </w:style>
  <w:style w:type="paragraph" w:styleId="12">
    <w:name w:val="Normal Indent"/>
    <w:basedOn w:val="1"/>
    <w:link w:val="81"/>
    <w:qFormat/>
    <w:uiPriority w:val="0"/>
    <w:pPr>
      <w:autoSpaceDE/>
      <w:autoSpaceDN/>
      <w:ind w:firstLine="420" w:firstLineChars="200"/>
      <w:jc w:val="both"/>
    </w:pPr>
    <w:rPr>
      <w:rFonts w:ascii="Times New Roman" w:hAnsi="Times New Roman" w:cs="Times New Roman" w:eastAsiaTheme="minorEastAsia"/>
      <w:kern w:val="2"/>
      <w:sz w:val="21"/>
      <w:szCs w:val="24"/>
    </w:rPr>
  </w:style>
  <w:style w:type="paragraph" w:styleId="13">
    <w:name w:val="caption"/>
    <w:basedOn w:val="1"/>
    <w:next w:val="1"/>
    <w:qFormat/>
    <w:uiPriority w:val="0"/>
    <w:pPr>
      <w:autoSpaceDE/>
      <w:autoSpaceDN/>
      <w:jc w:val="both"/>
    </w:pPr>
    <w:rPr>
      <w:rFonts w:ascii="Cambria" w:hAnsi="Cambria" w:eastAsia="黑体" w:cs="Times New Roman"/>
      <w:kern w:val="2"/>
      <w:sz w:val="20"/>
      <w:szCs w:val="20"/>
    </w:rPr>
  </w:style>
  <w:style w:type="paragraph" w:styleId="14">
    <w:name w:val="index 5"/>
    <w:basedOn w:val="1"/>
    <w:next w:val="1"/>
    <w:qFormat/>
    <w:uiPriority w:val="0"/>
    <w:pPr>
      <w:autoSpaceDE/>
      <w:autoSpaceDN/>
      <w:ind w:left="800" w:leftChars="800"/>
      <w:jc w:val="both"/>
    </w:pPr>
    <w:rPr>
      <w:rFonts w:ascii="Calibri" w:hAnsi="Calibri" w:cs="Times New Roman"/>
      <w:kern w:val="2"/>
      <w:sz w:val="21"/>
      <w:szCs w:val="24"/>
    </w:rPr>
  </w:style>
  <w:style w:type="paragraph" w:styleId="15">
    <w:name w:val="Document Map"/>
    <w:basedOn w:val="1"/>
    <w:link w:val="82"/>
    <w:qFormat/>
    <w:uiPriority w:val="0"/>
    <w:pPr>
      <w:shd w:val="clear" w:color="auto" w:fill="000080"/>
      <w:autoSpaceDE/>
      <w:autoSpaceDN/>
      <w:jc w:val="both"/>
    </w:pPr>
    <w:rPr>
      <w:rFonts w:ascii="Times New Roman" w:hAnsi="Times New Roman" w:cs="Times New Roman" w:eastAsiaTheme="minorEastAsia"/>
      <w:kern w:val="2"/>
      <w:sz w:val="21"/>
      <w:szCs w:val="24"/>
    </w:rPr>
  </w:style>
  <w:style w:type="paragraph" w:styleId="16">
    <w:name w:val="annotation text"/>
    <w:basedOn w:val="1"/>
    <w:link w:val="83"/>
    <w:unhideWhenUsed/>
    <w:qFormat/>
    <w:uiPriority w:val="0"/>
    <w:pPr>
      <w:autoSpaceDE/>
      <w:autoSpaceDN/>
    </w:pPr>
    <w:rPr>
      <w:rFonts w:ascii="Times New Roman" w:hAnsi="Times New Roman" w:cs="Times New Roman"/>
      <w:kern w:val="2"/>
      <w:sz w:val="21"/>
      <w:szCs w:val="24"/>
    </w:rPr>
  </w:style>
  <w:style w:type="paragraph" w:styleId="17">
    <w:name w:val="Body Text 3"/>
    <w:basedOn w:val="1"/>
    <w:link w:val="84"/>
    <w:qFormat/>
    <w:uiPriority w:val="0"/>
    <w:pPr>
      <w:autoSpaceDE/>
      <w:autoSpaceDN/>
      <w:jc w:val="both"/>
    </w:pPr>
    <w:rPr>
      <w:rFonts w:hAnsi="Times New Roman" w:cs="Times New Roman" w:asciiTheme="minorHAnsi" w:eastAsiaTheme="minorEastAsia"/>
      <w:kern w:val="2"/>
      <w:sz w:val="24"/>
      <w:szCs w:val="20"/>
    </w:rPr>
  </w:style>
  <w:style w:type="paragraph" w:styleId="18">
    <w:name w:val="Body Text"/>
    <w:basedOn w:val="1"/>
    <w:link w:val="73"/>
    <w:qFormat/>
    <w:uiPriority w:val="0"/>
    <w:pPr>
      <w:ind w:left="283"/>
    </w:pPr>
    <w:rPr>
      <w:sz w:val="21"/>
      <w:szCs w:val="21"/>
    </w:rPr>
  </w:style>
  <w:style w:type="paragraph" w:styleId="19">
    <w:name w:val="Body Text Indent"/>
    <w:basedOn w:val="1"/>
    <w:link w:val="85"/>
    <w:qFormat/>
    <w:uiPriority w:val="0"/>
    <w:pPr>
      <w:autoSpaceDE/>
      <w:autoSpaceDN/>
      <w:spacing w:after="120"/>
      <w:ind w:left="420" w:leftChars="200"/>
      <w:jc w:val="both"/>
    </w:pPr>
    <w:rPr>
      <w:rFonts w:ascii="Times New Roman" w:hAnsi="Times New Roman" w:cs="Times New Roman" w:eastAsiaTheme="minorEastAsia"/>
      <w:kern w:val="2"/>
      <w:sz w:val="21"/>
      <w:szCs w:val="24"/>
    </w:rPr>
  </w:style>
  <w:style w:type="paragraph" w:styleId="20">
    <w:name w:val="Block Text"/>
    <w:basedOn w:val="1"/>
    <w:qFormat/>
    <w:uiPriority w:val="0"/>
    <w:pPr>
      <w:autoSpaceDE/>
      <w:autoSpaceDN/>
      <w:spacing w:after="120"/>
      <w:ind w:left="1440" w:leftChars="700" w:right="1440" w:rightChars="700"/>
      <w:jc w:val="both"/>
    </w:pPr>
    <w:rPr>
      <w:rFonts w:ascii="Calibri" w:hAnsi="Calibri" w:cs="Times New Roman"/>
      <w:kern w:val="2"/>
      <w:sz w:val="21"/>
      <w:szCs w:val="24"/>
    </w:rPr>
  </w:style>
  <w:style w:type="paragraph" w:styleId="21">
    <w:name w:val="index 4"/>
    <w:basedOn w:val="1"/>
    <w:next w:val="1"/>
    <w:qFormat/>
    <w:uiPriority w:val="0"/>
    <w:pPr>
      <w:autoSpaceDE/>
      <w:autoSpaceDN/>
      <w:ind w:left="600" w:leftChars="600"/>
      <w:jc w:val="both"/>
    </w:pPr>
    <w:rPr>
      <w:rFonts w:ascii="Calibri" w:hAnsi="Calibri" w:cs="Times New Roman"/>
      <w:kern w:val="2"/>
      <w:sz w:val="21"/>
      <w:szCs w:val="24"/>
    </w:rPr>
  </w:style>
  <w:style w:type="paragraph" w:styleId="22">
    <w:name w:val="toc 5"/>
    <w:basedOn w:val="1"/>
    <w:next w:val="1"/>
    <w:unhideWhenUsed/>
    <w:qFormat/>
    <w:uiPriority w:val="39"/>
    <w:pPr>
      <w:autoSpaceDE/>
      <w:autoSpaceDN/>
      <w:ind w:left="1680" w:leftChars="800"/>
      <w:jc w:val="both"/>
    </w:pPr>
    <w:rPr>
      <w:rFonts w:ascii="Calibri" w:hAnsi="Calibri" w:cs="Times New Roman"/>
      <w:kern w:val="2"/>
      <w:sz w:val="21"/>
    </w:rPr>
  </w:style>
  <w:style w:type="paragraph" w:styleId="23">
    <w:name w:val="toc 3"/>
    <w:basedOn w:val="1"/>
    <w:next w:val="1"/>
    <w:link w:val="86"/>
    <w:unhideWhenUsed/>
    <w:qFormat/>
    <w:uiPriority w:val="39"/>
    <w:pPr>
      <w:autoSpaceDE/>
      <w:autoSpaceDN/>
      <w:ind w:left="840" w:leftChars="400"/>
      <w:jc w:val="both"/>
    </w:pPr>
    <w:rPr>
      <w:rFonts w:ascii="Times New Roman" w:hAnsi="Times New Roman" w:cs="Times New Roman"/>
      <w:kern w:val="2"/>
      <w:sz w:val="21"/>
      <w:szCs w:val="24"/>
    </w:rPr>
  </w:style>
  <w:style w:type="paragraph" w:styleId="24">
    <w:name w:val="Plain Text"/>
    <w:basedOn w:val="1"/>
    <w:link w:val="87"/>
    <w:qFormat/>
    <w:uiPriority w:val="0"/>
    <w:pPr>
      <w:autoSpaceDE/>
      <w:autoSpaceDN/>
      <w:jc w:val="both"/>
    </w:pPr>
    <w:rPr>
      <w:rFonts w:hAnsi="Courier New" w:cs="Courier New" w:asciiTheme="minorHAnsi" w:eastAsiaTheme="minorEastAsia"/>
      <w:kern w:val="2"/>
      <w:sz w:val="21"/>
      <w:szCs w:val="21"/>
    </w:rPr>
  </w:style>
  <w:style w:type="paragraph" w:styleId="25">
    <w:name w:val="toc 8"/>
    <w:basedOn w:val="1"/>
    <w:next w:val="1"/>
    <w:unhideWhenUsed/>
    <w:qFormat/>
    <w:uiPriority w:val="39"/>
    <w:pPr>
      <w:autoSpaceDE/>
      <w:autoSpaceDN/>
      <w:ind w:left="2940" w:leftChars="1400"/>
      <w:jc w:val="both"/>
    </w:pPr>
    <w:rPr>
      <w:rFonts w:ascii="Calibri" w:hAnsi="Calibri" w:cs="Times New Roman"/>
      <w:kern w:val="2"/>
      <w:sz w:val="21"/>
    </w:rPr>
  </w:style>
  <w:style w:type="paragraph" w:styleId="26">
    <w:name w:val="Date"/>
    <w:basedOn w:val="1"/>
    <w:next w:val="1"/>
    <w:link w:val="80"/>
    <w:unhideWhenUsed/>
    <w:qFormat/>
    <w:uiPriority w:val="0"/>
    <w:pPr>
      <w:ind w:left="100" w:leftChars="2500"/>
    </w:pPr>
  </w:style>
  <w:style w:type="paragraph" w:styleId="27">
    <w:name w:val="Body Text Indent 2"/>
    <w:basedOn w:val="1"/>
    <w:link w:val="88"/>
    <w:unhideWhenUsed/>
    <w:qFormat/>
    <w:uiPriority w:val="0"/>
    <w:pPr>
      <w:autoSpaceDE/>
      <w:autoSpaceDN/>
      <w:spacing w:after="120" w:line="480" w:lineRule="auto"/>
      <w:ind w:left="420" w:leftChars="200"/>
      <w:jc w:val="both"/>
    </w:pPr>
    <w:rPr>
      <w:rFonts w:ascii="Times New Roman" w:hAnsi="Times New Roman" w:cs="Times New Roman" w:eastAsiaTheme="minorEastAsia"/>
      <w:kern w:val="2"/>
      <w:sz w:val="21"/>
      <w:szCs w:val="24"/>
    </w:rPr>
  </w:style>
  <w:style w:type="paragraph" w:styleId="28">
    <w:name w:val="Balloon Text"/>
    <w:basedOn w:val="1"/>
    <w:link w:val="89"/>
    <w:unhideWhenUsed/>
    <w:qFormat/>
    <w:uiPriority w:val="0"/>
    <w:pPr>
      <w:autoSpaceDE/>
      <w:autoSpaceDN/>
      <w:jc w:val="both"/>
    </w:pPr>
    <w:rPr>
      <w:rFonts w:ascii="Times New Roman" w:hAnsi="Times New Roman" w:cs="Times New Roman"/>
      <w:kern w:val="2"/>
      <w:sz w:val="18"/>
      <w:szCs w:val="18"/>
    </w:rPr>
  </w:style>
  <w:style w:type="paragraph" w:styleId="29">
    <w:name w:val="footer"/>
    <w:basedOn w:val="1"/>
    <w:link w:val="78"/>
    <w:unhideWhenUsed/>
    <w:qFormat/>
    <w:uiPriority w:val="0"/>
    <w:pPr>
      <w:tabs>
        <w:tab w:val="center" w:pos="4153"/>
        <w:tab w:val="right" w:pos="8306"/>
      </w:tabs>
      <w:snapToGrid w:val="0"/>
    </w:pPr>
    <w:rPr>
      <w:sz w:val="18"/>
      <w:szCs w:val="18"/>
    </w:rPr>
  </w:style>
  <w:style w:type="paragraph" w:styleId="30">
    <w:name w:val="envelope return"/>
    <w:basedOn w:val="1"/>
    <w:qFormat/>
    <w:uiPriority w:val="0"/>
    <w:pPr>
      <w:autoSpaceDE/>
      <w:autoSpaceDN/>
      <w:snapToGrid w:val="0"/>
      <w:jc w:val="both"/>
    </w:pPr>
    <w:rPr>
      <w:rFonts w:ascii="Arial" w:hAnsi="Arial" w:cs="Times New Roman"/>
      <w:kern w:val="2"/>
      <w:sz w:val="21"/>
      <w:szCs w:val="21"/>
    </w:rPr>
  </w:style>
  <w:style w:type="paragraph" w:styleId="31">
    <w:name w:val="header"/>
    <w:basedOn w:val="1"/>
    <w:link w:val="77"/>
    <w:unhideWhenUsed/>
    <w:qFormat/>
    <w:uiPriority w:val="0"/>
    <w:pPr>
      <w:pBdr>
        <w:bottom w:val="single" w:color="auto" w:sz="6" w:space="1"/>
      </w:pBdr>
      <w:tabs>
        <w:tab w:val="center" w:pos="4153"/>
        <w:tab w:val="right" w:pos="8306"/>
      </w:tabs>
      <w:snapToGrid w:val="0"/>
      <w:jc w:val="center"/>
    </w:pPr>
    <w:rPr>
      <w:sz w:val="18"/>
      <w:szCs w:val="18"/>
    </w:rPr>
  </w:style>
  <w:style w:type="paragraph" w:styleId="32">
    <w:name w:val="toc 1"/>
    <w:basedOn w:val="1"/>
    <w:link w:val="72"/>
    <w:qFormat/>
    <w:uiPriority w:val="39"/>
    <w:pPr>
      <w:spacing w:before="139"/>
      <w:ind w:left="626"/>
    </w:pPr>
    <w:rPr>
      <w:sz w:val="21"/>
      <w:szCs w:val="21"/>
    </w:rPr>
  </w:style>
  <w:style w:type="paragraph" w:styleId="33">
    <w:name w:val="toc 4"/>
    <w:basedOn w:val="1"/>
    <w:next w:val="1"/>
    <w:unhideWhenUsed/>
    <w:qFormat/>
    <w:uiPriority w:val="39"/>
    <w:pPr>
      <w:autoSpaceDE/>
      <w:autoSpaceDN/>
      <w:ind w:left="1260" w:leftChars="600"/>
      <w:jc w:val="both"/>
    </w:pPr>
    <w:rPr>
      <w:rFonts w:ascii="Calibri" w:hAnsi="Calibri" w:cs="Times New Roman"/>
      <w:kern w:val="2"/>
      <w:sz w:val="21"/>
    </w:rPr>
  </w:style>
  <w:style w:type="paragraph" w:styleId="34">
    <w:name w:val="Subtitle"/>
    <w:basedOn w:val="1"/>
    <w:next w:val="1"/>
    <w:link w:val="90"/>
    <w:qFormat/>
    <w:uiPriority w:val="0"/>
    <w:pPr>
      <w:autoSpaceDE/>
      <w:autoSpaceDN/>
      <w:ind w:left="249"/>
      <w:jc w:val="both"/>
    </w:pPr>
    <w:rPr>
      <w:rFonts w:ascii="Cambria" w:hAnsi="Cambria" w:cs="Times New Roman" w:eastAsiaTheme="minorEastAsia"/>
      <w:i/>
      <w:iCs/>
      <w:color w:val="4F81BD"/>
      <w:spacing w:val="15"/>
      <w:kern w:val="2"/>
      <w:sz w:val="24"/>
      <w:szCs w:val="24"/>
    </w:rPr>
  </w:style>
  <w:style w:type="paragraph" w:styleId="35">
    <w:name w:val="List"/>
    <w:basedOn w:val="1"/>
    <w:qFormat/>
    <w:uiPriority w:val="0"/>
    <w:pPr>
      <w:autoSpaceDE/>
      <w:autoSpaceDN/>
      <w:adjustRightInd w:val="0"/>
      <w:spacing w:line="360" w:lineRule="atLeast"/>
      <w:ind w:left="420" w:hanging="420"/>
    </w:pPr>
    <w:rPr>
      <w:rFonts w:hint="eastAsia" w:hAnsi="Calibri" w:cs="Times New Roman"/>
      <w:sz w:val="24"/>
      <w:szCs w:val="20"/>
    </w:rPr>
  </w:style>
  <w:style w:type="paragraph" w:styleId="36">
    <w:name w:val="toc 6"/>
    <w:basedOn w:val="1"/>
    <w:next w:val="1"/>
    <w:unhideWhenUsed/>
    <w:qFormat/>
    <w:uiPriority w:val="39"/>
    <w:pPr>
      <w:autoSpaceDE/>
      <w:autoSpaceDN/>
      <w:ind w:left="2100" w:leftChars="1000"/>
      <w:jc w:val="both"/>
    </w:pPr>
    <w:rPr>
      <w:rFonts w:ascii="Calibri" w:hAnsi="Calibri" w:cs="Times New Roman"/>
      <w:kern w:val="2"/>
      <w:sz w:val="21"/>
    </w:rPr>
  </w:style>
  <w:style w:type="paragraph" w:styleId="37">
    <w:name w:val="Body Text Indent 3"/>
    <w:basedOn w:val="1"/>
    <w:link w:val="91"/>
    <w:qFormat/>
    <w:uiPriority w:val="0"/>
    <w:pPr>
      <w:autoSpaceDE/>
      <w:autoSpaceDN/>
      <w:spacing w:after="120"/>
      <w:ind w:left="420" w:leftChars="200"/>
      <w:jc w:val="both"/>
    </w:pPr>
    <w:rPr>
      <w:rFonts w:ascii="Times New Roman" w:hAnsi="Times New Roman" w:cs="Times New Roman" w:eastAsiaTheme="minorEastAsia"/>
      <w:kern w:val="2"/>
      <w:sz w:val="16"/>
      <w:szCs w:val="16"/>
    </w:rPr>
  </w:style>
  <w:style w:type="paragraph" w:styleId="38">
    <w:name w:val="toc 2"/>
    <w:basedOn w:val="1"/>
    <w:next w:val="1"/>
    <w:link w:val="92"/>
    <w:unhideWhenUsed/>
    <w:qFormat/>
    <w:uiPriority w:val="39"/>
    <w:pPr>
      <w:widowControl/>
      <w:autoSpaceDE/>
      <w:autoSpaceDN/>
      <w:spacing w:after="100" w:line="276" w:lineRule="auto"/>
      <w:ind w:left="220"/>
    </w:pPr>
    <w:rPr>
      <w:rFonts w:ascii="Calibri" w:hAnsi="Calibri" w:cs="Times New Roman"/>
    </w:rPr>
  </w:style>
  <w:style w:type="paragraph" w:styleId="39">
    <w:name w:val="toc 9"/>
    <w:basedOn w:val="1"/>
    <w:next w:val="1"/>
    <w:unhideWhenUsed/>
    <w:qFormat/>
    <w:uiPriority w:val="39"/>
    <w:pPr>
      <w:autoSpaceDE/>
      <w:autoSpaceDN/>
      <w:ind w:left="3360" w:leftChars="1600"/>
      <w:jc w:val="both"/>
    </w:pPr>
    <w:rPr>
      <w:rFonts w:ascii="Calibri" w:hAnsi="Calibri" w:cs="Times New Roman"/>
      <w:kern w:val="2"/>
      <w:sz w:val="21"/>
    </w:rPr>
  </w:style>
  <w:style w:type="paragraph" w:styleId="40">
    <w:name w:val="Body Text 2"/>
    <w:basedOn w:val="1"/>
    <w:next w:val="18"/>
    <w:link w:val="149"/>
    <w:qFormat/>
    <w:uiPriority w:val="0"/>
    <w:pPr>
      <w:autoSpaceDE/>
      <w:autoSpaceDN/>
      <w:jc w:val="center"/>
    </w:pPr>
    <w:rPr>
      <w:rFonts w:ascii="Times New Roman" w:hAnsi="Times New Roman" w:eastAsia="黑体" w:cs="Times New Roman"/>
      <w:kern w:val="2"/>
      <w:sz w:val="72"/>
      <w:szCs w:val="72"/>
    </w:rPr>
  </w:style>
  <w:style w:type="paragraph" w:styleId="41">
    <w:name w:val="Normal (Web)"/>
    <w:basedOn w:val="1"/>
    <w:qFormat/>
    <w:uiPriority w:val="0"/>
    <w:pPr>
      <w:widowControl/>
      <w:autoSpaceDE/>
      <w:autoSpaceDN/>
      <w:spacing w:before="100" w:beforeAutospacing="1" w:after="100" w:afterAutospacing="1"/>
    </w:pPr>
    <w:rPr>
      <w:rFonts w:cs="Times New Roman"/>
      <w:sz w:val="24"/>
      <w:szCs w:val="24"/>
    </w:rPr>
  </w:style>
  <w:style w:type="paragraph" w:styleId="42">
    <w:name w:val="index 1"/>
    <w:basedOn w:val="1"/>
    <w:next w:val="1"/>
    <w:qFormat/>
    <w:uiPriority w:val="0"/>
    <w:pPr>
      <w:autoSpaceDE/>
      <w:autoSpaceDN/>
      <w:spacing w:line="220" w:lineRule="exact"/>
      <w:jc w:val="center"/>
    </w:pPr>
    <w:rPr>
      <w:rFonts w:ascii="仿宋_GB2312" w:hAnsi="Times New Roman" w:eastAsia="仿宋_GB2312" w:cs="Times New Roman"/>
      <w:kern w:val="2"/>
      <w:sz w:val="21"/>
      <w:szCs w:val="21"/>
    </w:rPr>
  </w:style>
  <w:style w:type="paragraph" w:styleId="43">
    <w:name w:val="Title"/>
    <w:basedOn w:val="1"/>
    <w:link w:val="74"/>
    <w:qFormat/>
    <w:uiPriority w:val="0"/>
    <w:pPr>
      <w:spacing w:line="1246" w:lineRule="exact"/>
      <w:ind w:left="114" w:right="58"/>
      <w:jc w:val="center"/>
    </w:pPr>
    <w:rPr>
      <w:rFonts w:ascii="Microsoft JhengHei" w:hAnsi="Microsoft JhengHei" w:eastAsia="Microsoft JhengHei" w:cs="Microsoft JhengHei"/>
      <w:b/>
      <w:bCs/>
      <w:sz w:val="72"/>
      <w:szCs w:val="72"/>
    </w:rPr>
  </w:style>
  <w:style w:type="paragraph" w:styleId="44">
    <w:name w:val="annotation subject"/>
    <w:basedOn w:val="16"/>
    <w:next w:val="16"/>
    <w:link w:val="93"/>
    <w:qFormat/>
    <w:uiPriority w:val="0"/>
    <w:rPr>
      <w:rFonts w:eastAsiaTheme="minorEastAsia"/>
      <w:b/>
      <w:bCs/>
    </w:rPr>
  </w:style>
  <w:style w:type="paragraph" w:styleId="45">
    <w:name w:val="Body Text First Indent 2"/>
    <w:basedOn w:val="19"/>
    <w:link w:val="147"/>
    <w:unhideWhenUsed/>
    <w:qFormat/>
    <w:uiPriority w:val="0"/>
    <w:pPr>
      <w:ind w:firstLine="420" w:firstLineChars="200"/>
    </w:pPr>
    <w:rPr>
      <w:rFonts w:eastAsia="宋体"/>
    </w:rPr>
  </w:style>
  <w:style w:type="character" w:styleId="48">
    <w:name w:val="Strong"/>
    <w:qFormat/>
    <w:uiPriority w:val="0"/>
    <w:rPr>
      <w:b/>
      <w:bCs/>
    </w:rPr>
  </w:style>
  <w:style w:type="character" w:styleId="49">
    <w:name w:val="page number"/>
    <w:basedOn w:val="47"/>
    <w:qFormat/>
    <w:uiPriority w:val="0"/>
  </w:style>
  <w:style w:type="character" w:styleId="50">
    <w:name w:val="FollowedHyperlink"/>
    <w:basedOn w:val="47"/>
    <w:unhideWhenUsed/>
    <w:qFormat/>
    <w:uiPriority w:val="0"/>
    <w:rPr>
      <w:color w:val="800080" w:themeColor="followedHyperlink"/>
      <w:u w:val="single"/>
      <w14:textFill>
        <w14:solidFill>
          <w14:schemeClr w14:val="folHlink"/>
        </w14:solidFill>
      </w14:textFill>
    </w:rPr>
  </w:style>
  <w:style w:type="character" w:styleId="51">
    <w:name w:val="Emphasis"/>
    <w:qFormat/>
    <w:uiPriority w:val="0"/>
    <w:rPr>
      <w:i/>
      <w:iCs/>
    </w:rPr>
  </w:style>
  <w:style w:type="character" w:styleId="52">
    <w:name w:val="HTML Definition"/>
    <w:qFormat/>
    <w:uiPriority w:val="99"/>
  </w:style>
  <w:style w:type="character" w:styleId="53">
    <w:name w:val="HTML Typewriter"/>
    <w:qFormat/>
    <w:uiPriority w:val="99"/>
    <w:rPr>
      <w:rFonts w:hint="default" w:ascii="monospace" w:hAnsi="monospace" w:eastAsia="monospace" w:cs="monospace"/>
      <w:sz w:val="20"/>
    </w:rPr>
  </w:style>
  <w:style w:type="character" w:styleId="54">
    <w:name w:val="HTML Acronym"/>
    <w:basedOn w:val="47"/>
    <w:qFormat/>
    <w:uiPriority w:val="99"/>
  </w:style>
  <w:style w:type="character" w:styleId="55">
    <w:name w:val="HTML Variable"/>
    <w:qFormat/>
    <w:uiPriority w:val="99"/>
  </w:style>
  <w:style w:type="character" w:styleId="56">
    <w:name w:val="Hyperlink"/>
    <w:basedOn w:val="47"/>
    <w:unhideWhenUsed/>
    <w:qFormat/>
    <w:uiPriority w:val="99"/>
    <w:rPr>
      <w:color w:val="0000FF" w:themeColor="hyperlink"/>
      <w:u w:val="single"/>
      <w14:textFill>
        <w14:solidFill>
          <w14:schemeClr w14:val="hlink"/>
        </w14:solidFill>
      </w14:textFill>
    </w:rPr>
  </w:style>
  <w:style w:type="character" w:styleId="57">
    <w:name w:val="HTML Code"/>
    <w:qFormat/>
    <w:uiPriority w:val="99"/>
    <w:rPr>
      <w:rFonts w:ascii="Courier New" w:hAnsi="Courier New"/>
      <w:sz w:val="20"/>
    </w:rPr>
  </w:style>
  <w:style w:type="character" w:styleId="58">
    <w:name w:val="annotation reference"/>
    <w:basedOn w:val="47"/>
    <w:unhideWhenUsed/>
    <w:qFormat/>
    <w:uiPriority w:val="0"/>
    <w:rPr>
      <w:sz w:val="21"/>
      <w:szCs w:val="21"/>
    </w:rPr>
  </w:style>
  <w:style w:type="character" w:styleId="59">
    <w:name w:val="HTML Cite"/>
    <w:qFormat/>
    <w:uiPriority w:val="99"/>
  </w:style>
  <w:style w:type="character" w:styleId="60">
    <w:name w:val="HTML Keyboard"/>
    <w:qFormat/>
    <w:uiPriority w:val="99"/>
    <w:rPr>
      <w:rFonts w:ascii="monospace" w:hAnsi="monospace" w:eastAsia="monospace" w:cs="monospace"/>
      <w:sz w:val="20"/>
    </w:rPr>
  </w:style>
  <w:style w:type="character" w:styleId="61">
    <w:name w:val="HTML Sample"/>
    <w:qFormat/>
    <w:uiPriority w:val="99"/>
    <w:rPr>
      <w:rFonts w:hint="default" w:ascii="monospace" w:hAnsi="monospace" w:eastAsia="monospace" w:cs="monospace"/>
    </w:rPr>
  </w:style>
  <w:style w:type="character" w:customStyle="1" w:styleId="62">
    <w:name w:val="标题 1 字符"/>
    <w:basedOn w:val="47"/>
    <w:link w:val="2"/>
    <w:qFormat/>
    <w:uiPriority w:val="0"/>
    <w:rPr>
      <w:rFonts w:ascii="Microsoft JhengHei" w:hAnsi="Microsoft JhengHei" w:eastAsia="Microsoft JhengHei" w:cs="Microsoft JhengHei"/>
      <w:b/>
      <w:bCs/>
      <w:sz w:val="36"/>
      <w:szCs w:val="36"/>
      <w:lang w:eastAsia="zh-CN"/>
    </w:rPr>
  </w:style>
  <w:style w:type="character" w:customStyle="1" w:styleId="63">
    <w:name w:val="标题 2 字符"/>
    <w:basedOn w:val="47"/>
    <w:link w:val="3"/>
    <w:qFormat/>
    <w:uiPriority w:val="0"/>
    <w:rPr>
      <w:rFonts w:ascii="宋体" w:hAnsi="宋体" w:eastAsia="宋体" w:cs="宋体"/>
      <w:sz w:val="36"/>
      <w:szCs w:val="36"/>
      <w:lang w:eastAsia="zh-CN"/>
    </w:rPr>
  </w:style>
  <w:style w:type="character" w:customStyle="1" w:styleId="64">
    <w:name w:val="标题 3 字符"/>
    <w:basedOn w:val="47"/>
    <w:link w:val="4"/>
    <w:qFormat/>
    <w:uiPriority w:val="0"/>
    <w:rPr>
      <w:rFonts w:ascii="Microsoft JhengHei" w:hAnsi="Microsoft JhengHei" w:eastAsia="Microsoft JhengHei" w:cs="Microsoft JhengHei"/>
      <w:b/>
      <w:bCs/>
      <w:sz w:val="32"/>
      <w:szCs w:val="32"/>
      <w:lang w:eastAsia="zh-CN"/>
    </w:rPr>
  </w:style>
  <w:style w:type="character" w:customStyle="1" w:styleId="65">
    <w:name w:val="标题 4 字符"/>
    <w:basedOn w:val="47"/>
    <w:link w:val="5"/>
    <w:qFormat/>
    <w:uiPriority w:val="0"/>
    <w:rPr>
      <w:rFonts w:ascii="Microsoft JhengHei" w:hAnsi="Microsoft JhengHei" w:eastAsia="Microsoft JhengHei" w:cs="Microsoft JhengHei"/>
      <w:b/>
      <w:bCs/>
      <w:sz w:val="28"/>
      <w:szCs w:val="28"/>
      <w:lang w:eastAsia="zh-CN"/>
    </w:rPr>
  </w:style>
  <w:style w:type="character" w:customStyle="1" w:styleId="66">
    <w:name w:val="标题 5 字符"/>
    <w:basedOn w:val="47"/>
    <w:link w:val="6"/>
    <w:qFormat/>
    <w:uiPriority w:val="0"/>
    <w:rPr>
      <w:rFonts w:ascii="宋体" w:hAnsi="宋体" w:eastAsia="宋体" w:cs="宋体"/>
      <w:sz w:val="28"/>
      <w:szCs w:val="28"/>
      <w:lang w:eastAsia="zh-CN"/>
    </w:rPr>
  </w:style>
  <w:style w:type="character" w:customStyle="1" w:styleId="67">
    <w:name w:val="标题 6 字符"/>
    <w:basedOn w:val="47"/>
    <w:link w:val="7"/>
    <w:qFormat/>
    <w:uiPriority w:val="0"/>
    <w:rPr>
      <w:rFonts w:ascii="Microsoft JhengHei" w:hAnsi="Microsoft JhengHei" w:eastAsia="Microsoft JhengHei" w:cs="Microsoft JhengHei"/>
      <w:b/>
      <w:bCs/>
      <w:sz w:val="24"/>
      <w:szCs w:val="24"/>
      <w:lang w:eastAsia="zh-CN"/>
    </w:rPr>
  </w:style>
  <w:style w:type="character" w:customStyle="1" w:styleId="68">
    <w:name w:val="标题 7 字符"/>
    <w:basedOn w:val="47"/>
    <w:link w:val="8"/>
    <w:qFormat/>
    <w:uiPriority w:val="0"/>
    <w:rPr>
      <w:rFonts w:ascii="Microsoft JhengHei" w:hAnsi="Microsoft JhengHei" w:eastAsia="Microsoft JhengHei" w:cs="Microsoft JhengHei"/>
      <w:b/>
      <w:bCs/>
      <w:lang w:eastAsia="zh-CN"/>
    </w:rPr>
  </w:style>
  <w:style w:type="character" w:customStyle="1" w:styleId="69">
    <w:name w:val="标题 8 字符"/>
    <w:basedOn w:val="47"/>
    <w:link w:val="9"/>
    <w:qFormat/>
    <w:uiPriority w:val="0"/>
    <w:rPr>
      <w:rFonts w:ascii="宋体" w:hAnsi="宋体" w:eastAsia="宋体" w:cs="宋体"/>
      <w:lang w:eastAsia="zh-CN"/>
    </w:rPr>
  </w:style>
  <w:style w:type="character" w:customStyle="1" w:styleId="70">
    <w:name w:val="标题 9 字符"/>
    <w:basedOn w:val="47"/>
    <w:link w:val="10"/>
    <w:qFormat/>
    <w:uiPriority w:val="0"/>
    <w:rPr>
      <w:rFonts w:ascii="Microsoft JhengHei" w:hAnsi="Microsoft JhengHei" w:eastAsia="Microsoft JhengHei" w:cs="Microsoft JhengHei"/>
      <w:b/>
      <w:bCs/>
      <w:sz w:val="21"/>
      <w:szCs w:val="21"/>
      <w:lang w:eastAsia="zh-CN"/>
    </w:rPr>
  </w:style>
  <w:style w:type="table" w:customStyle="1" w:styleId="71">
    <w:name w:val="Table Normal"/>
    <w:unhideWhenUsed/>
    <w:qFormat/>
    <w:uiPriority w:val="2"/>
    <w:tblPr>
      <w:tblCellMar>
        <w:top w:w="0" w:type="dxa"/>
        <w:left w:w="0" w:type="dxa"/>
        <w:bottom w:w="0" w:type="dxa"/>
        <w:right w:w="0" w:type="dxa"/>
      </w:tblCellMar>
    </w:tblPr>
  </w:style>
  <w:style w:type="character" w:customStyle="1" w:styleId="72">
    <w:name w:val="TOC 1 字符"/>
    <w:link w:val="32"/>
    <w:qFormat/>
    <w:uiPriority w:val="39"/>
    <w:rPr>
      <w:rFonts w:ascii="宋体" w:hAnsi="宋体" w:eastAsia="宋体" w:cs="宋体"/>
      <w:sz w:val="21"/>
      <w:szCs w:val="21"/>
      <w:lang w:eastAsia="zh-CN"/>
    </w:rPr>
  </w:style>
  <w:style w:type="character" w:customStyle="1" w:styleId="73">
    <w:name w:val="正文文本 字符"/>
    <w:link w:val="18"/>
    <w:qFormat/>
    <w:uiPriority w:val="0"/>
    <w:rPr>
      <w:rFonts w:ascii="宋体" w:hAnsi="宋体" w:eastAsia="宋体" w:cs="宋体"/>
      <w:sz w:val="21"/>
      <w:szCs w:val="21"/>
      <w:lang w:eastAsia="zh-CN"/>
    </w:rPr>
  </w:style>
  <w:style w:type="character" w:customStyle="1" w:styleId="74">
    <w:name w:val="标题 字符"/>
    <w:link w:val="43"/>
    <w:qFormat/>
    <w:uiPriority w:val="0"/>
    <w:rPr>
      <w:rFonts w:ascii="Microsoft JhengHei" w:hAnsi="Microsoft JhengHei" w:eastAsia="Microsoft JhengHei" w:cs="Microsoft JhengHei"/>
      <w:b/>
      <w:bCs/>
      <w:sz w:val="72"/>
      <w:szCs w:val="72"/>
      <w:lang w:eastAsia="zh-CN"/>
    </w:rPr>
  </w:style>
  <w:style w:type="paragraph" w:styleId="75">
    <w:name w:val="List Paragraph"/>
    <w:basedOn w:val="1"/>
    <w:qFormat/>
    <w:uiPriority w:val="0"/>
    <w:pPr>
      <w:ind w:left="283" w:firstLine="420"/>
    </w:pPr>
  </w:style>
  <w:style w:type="paragraph" w:customStyle="1" w:styleId="76">
    <w:name w:val="Table Paragraph"/>
    <w:basedOn w:val="1"/>
    <w:qFormat/>
    <w:uiPriority w:val="1"/>
  </w:style>
  <w:style w:type="character" w:customStyle="1" w:styleId="77">
    <w:name w:val="页眉 字符"/>
    <w:basedOn w:val="47"/>
    <w:link w:val="31"/>
    <w:qFormat/>
    <w:uiPriority w:val="0"/>
    <w:rPr>
      <w:rFonts w:ascii="宋体" w:hAnsi="宋体" w:eastAsia="宋体" w:cs="宋体"/>
      <w:sz w:val="18"/>
      <w:szCs w:val="18"/>
      <w:lang w:eastAsia="zh-CN"/>
    </w:rPr>
  </w:style>
  <w:style w:type="character" w:customStyle="1" w:styleId="78">
    <w:name w:val="页脚 字符"/>
    <w:basedOn w:val="47"/>
    <w:link w:val="29"/>
    <w:qFormat/>
    <w:uiPriority w:val="0"/>
    <w:rPr>
      <w:rFonts w:ascii="宋体" w:hAnsi="宋体" w:eastAsia="宋体" w:cs="宋体"/>
      <w:sz w:val="18"/>
      <w:szCs w:val="18"/>
      <w:lang w:eastAsia="zh-CN"/>
    </w:rPr>
  </w:style>
  <w:style w:type="character" w:customStyle="1" w:styleId="79">
    <w:name w:val="Unresolved Mention"/>
    <w:basedOn w:val="47"/>
    <w:semiHidden/>
    <w:unhideWhenUsed/>
    <w:qFormat/>
    <w:uiPriority w:val="99"/>
    <w:rPr>
      <w:color w:val="605E5C"/>
      <w:shd w:val="clear" w:color="auto" w:fill="E1DFDD"/>
    </w:rPr>
  </w:style>
  <w:style w:type="character" w:customStyle="1" w:styleId="80">
    <w:name w:val="日期 字符"/>
    <w:basedOn w:val="47"/>
    <w:link w:val="26"/>
    <w:qFormat/>
    <w:uiPriority w:val="0"/>
    <w:rPr>
      <w:rFonts w:ascii="宋体" w:hAnsi="宋体" w:eastAsia="宋体" w:cs="宋体"/>
      <w:lang w:eastAsia="zh-CN"/>
    </w:rPr>
  </w:style>
  <w:style w:type="character" w:customStyle="1" w:styleId="81">
    <w:name w:val="正文缩进 字符"/>
    <w:link w:val="12"/>
    <w:qFormat/>
    <w:uiPriority w:val="0"/>
    <w:rPr>
      <w:rFonts w:ascii="Times New Roman" w:hAnsi="Times New Roman" w:cs="Times New Roman"/>
      <w:kern w:val="2"/>
      <w:sz w:val="21"/>
      <w:szCs w:val="24"/>
      <w:lang w:eastAsia="zh-CN"/>
    </w:rPr>
  </w:style>
  <w:style w:type="character" w:customStyle="1" w:styleId="82">
    <w:name w:val="文档结构图 字符"/>
    <w:basedOn w:val="47"/>
    <w:link w:val="15"/>
    <w:qFormat/>
    <w:uiPriority w:val="0"/>
    <w:rPr>
      <w:rFonts w:ascii="Times New Roman" w:hAnsi="Times New Roman" w:cs="Times New Roman"/>
      <w:kern w:val="2"/>
      <w:sz w:val="21"/>
      <w:szCs w:val="24"/>
      <w:shd w:val="clear" w:color="auto" w:fill="000080"/>
      <w:lang w:eastAsia="zh-CN"/>
    </w:rPr>
  </w:style>
  <w:style w:type="character" w:customStyle="1" w:styleId="83">
    <w:name w:val="批注文字 字符"/>
    <w:basedOn w:val="47"/>
    <w:link w:val="16"/>
    <w:qFormat/>
    <w:uiPriority w:val="0"/>
    <w:rPr>
      <w:rFonts w:ascii="Times New Roman" w:hAnsi="Times New Roman" w:eastAsia="宋体" w:cs="Times New Roman"/>
      <w:kern w:val="2"/>
      <w:sz w:val="21"/>
      <w:szCs w:val="24"/>
      <w:lang w:eastAsia="zh-CN"/>
    </w:rPr>
  </w:style>
  <w:style w:type="character" w:customStyle="1" w:styleId="84">
    <w:name w:val="正文文本 3 字符"/>
    <w:basedOn w:val="47"/>
    <w:link w:val="17"/>
    <w:qFormat/>
    <w:uiPriority w:val="0"/>
    <w:rPr>
      <w:rFonts w:hAnsi="Times New Roman" w:cs="Times New Roman"/>
      <w:kern w:val="2"/>
      <w:sz w:val="24"/>
      <w:szCs w:val="20"/>
      <w:lang w:eastAsia="zh-CN"/>
    </w:rPr>
  </w:style>
  <w:style w:type="character" w:customStyle="1" w:styleId="85">
    <w:name w:val="正文文本缩进 字符"/>
    <w:basedOn w:val="47"/>
    <w:link w:val="19"/>
    <w:qFormat/>
    <w:uiPriority w:val="0"/>
    <w:rPr>
      <w:rFonts w:ascii="Times New Roman" w:hAnsi="Times New Roman" w:cs="Times New Roman"/>
      <w:kern w:val="2"/>
      <w:sz w:val="21"/>
      <w:szCs w:val="24"/>
      <w:lang w:eastAsia="zh-CN"/>
    </w:rPr>
  </w:style>
  <w:style w:type="character" w:customStyle="1" w:styleId="86">
    <w:name w:val="TOC 3 字符"/>
    <w:link w:val="23"/>
    <w:qFormat/>
    <w:uiPriority w:val="39"/>
    <w:rPr>
      <w:rFonts w:ascii="Times New Roman" w:hAnsi="Times New Roman" w:eastAsia="宋体" w:cs="Times New Roman"/>
      <w:kern w:val="2"/>
      <w:sz w:val="21"/>
      <w:szCs w:val="24"/>
      <w:lang w:eastAsia="zh-CN"/>
    </w:rPr>
  </w:style>
  <w:style w:type="character" w:customStyle="1" w:styleId="87">
    <w:name w:val="纯文本 字符"/>
    <w:basedOn w:val="47"/>
    <w:link w:val="24"/>
    <w:qFormat/>
    <w:uiPriority w:val="0"/>
    <w:rPr>
      <w:rFonts w:hAnsi="Courier New" w:cs="Courier New"/>
      <w:kern w:val="2"/>
      <w:sz w:val="21"/>
      <w:szCs w:val="21"/>
      <w:lang w:eastAsia="zh-CN"/>
    </w:rPr>
  </w:style>
  <w:style w:type="character" w:customStyle="1" w:styleId="88">
    <w:name w:val="正文文本缩进 2 字符"/>
    <w:basedOn w:val="47"/>
    <w:link w:val="27"/>
    <w:qFormat/>
    <w:uiPriority w:val="0"/>
    <w:rPr>
      <w:rFonts w:ascii="Times New Roman" w:hAnsi="Times New Roman" w:cs="Times New Roman"/>
      <w:kern w:val="2"/>
      <w:sz w:val="21"/>
      <w:szCs w:val="24"/>
      <w:lang w:eastAsia="zh-CN"/>
    </w:rPr>
  </w:style>
  <w:style w:type="character" w:customStyle="1" w:styleId="89">
    <w:name w:val="批注框文本 字符"/>
    <w:basedOn w:val="47"/>
    <w:link w:val="28"/>
    <w:qFormat/>
    <w:uiPriority w:val="0"/>
    <w:rPr>
      <w:rFonts w:ascii="Times New Roman" w:hAnsi="Times New Roman" w:eastAsia="宋体" w:cs="Times New Roman"/>
      <w:kern w:val="2"/>
      <w:sz w:val="18"/>
      <w:szCs w:val="18"/>
      <w:lang w:eastAsia="zh-CN"/>
    </w:rPr>
  </w:style>
  <w:style w:type="character" w:customStyle="1" w:styleId="90">
    <w:name w:val="副标题 字符"/>
    <w:basedOn w:val="47"/>
    <w:link w:val="34"/>
    <w:qFormat/>
    <w:uiPriority w:val="0"/>
    <w:rPr>
      <w:rFonts w:ascii="Cambria" w:hAnsi="Cambria" w:cs="Times New Roman"/>
      <w:i/>
      <w:iCs/>
      <w:color w:val="4F81BD"/>
      <w:spacing w:val="15"/>
      <w:kern w:val="2"/>
      <w:sz w:val="24"/>
      <w:szCs w:val="24"/>
      <w:lang w:eastAsia="zh-CN"/>
    </w:rPr>
  </w:style>
  <w:style w:type="character" w:customStyle="1" w:styleId="91">
    <w:name w:val="正文文本缩进 3 字符"/>
    <w:basedOn w:val="47"/>
    <w:link w:val="37"/>
    <w:qFormat/>
    <w:uiPriority w:val="0"/>
    <w:rPr>
      <w:rFonts w:ascii="Times New Roman" w:hAnsi="Times New Roman" w:cs="Times New Roman"/>
      <w:kern w:val="2"/>
      <w:sz w:val="16"/>
      <w:szCs w:val="16"/>
      <w:lang w:eastAsia="zh-CN"/>
    </w:rPr>
  </w:style>
  <w:style w:type="character" w:customStyle="1" w:styleId="92">
    <w:name w:val="TOC 2 字符"/>
    <w:link w:val="38"/>
    <w:qFormat/>
    <w:uiPriority w:val="39"/>
    <w:rPr>
      <w:rFonts w:ascii="Calibri" w:hAnsi="Calibri" w:eastAsia="宋体" w:cs="Times New Roman"/>
      <w:lang w:eastAsia="zh-CN"/>
    </w:rPr>
  </w:style>
  <w:style w:type="character" w:customStyle="1" w:styleId="93">
    <w:name w:val="批注主题 字符"/>
    <w:basedOn w:val="83"/>
    <w:link w:val="44"/>
    <w:qFormat/>
    <w:uiPriority w:val="0"/>
    <w:rPr>
      <w:rFonts w:ascii="Times New Roman" w:hAnsi="Times New Roman" w:eastAsia="宋体" w:cs="Times New Roman"/>
      <w:b/>
      <w:bCs/>
      <w:kern w:val="2"/>
      <w:sz w:val="21"/>
      <w:szCs w:val="24"/>
      <w:lang w:eastAsia="zh-CN"/>
    </w:rPr>
  </w:style>
  <w:style w:type="paragraph" w:customStyle="1" w:styleId="94">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95">
    <w:name w:val="明显强调1"/>
    <w:qFormat/>
    <w:uiPriority w:val="0"/>
    <w:rPr>
      <w:b/>
      <w:bCs/>
      <w:i/>
      <w:iCs/>
      <w:color w:val="4F81BD"/>
    </w:rPr>
  </w:style>
  <w:style w:type="character" w:customStyle="1" w:styleId="96">
    <w:name w:val="无间隔 字符"/>
    <w:link w:val="97"/>
    <w:qFormat/>
    <w:uiPriority w:val="1"/>
    <w:rPr>
      <w:rFonts w:ascii="Calibri" w:hAnsi="Calibri" w:cs="Times New Roman"/>
      <w:lang w:bidi="en-US"/>
    </w:rPr>
  </w:style>
  <w:style w:type="paragraph" w:styleId="97">
    <w:name w:val="No Spacing"/>
    <w:link w:val="96"/>
    <w:qFormat/>
    <w:uiPriority w:val="1"/>
    <w:pPr>
      <w:widowControl/>
      <w:autoSpaceDE/>
      <w:autoSpaceDN/>
      <w:spacing w:before="100" w:beforeAutospacing="1" w:afterAutospacing="1"/>
      <w:ind w:left="249" w:right="720"/>
      <w:jc w:val="center"/>
    </w:pPr>
    <w:rPr>
      <w:rFonts w:ascii="Calibri" w:hAnsi="Calibri" w:cs="Times New Roman" w:eastAsiaTheme="minorEastAsia"/>
      <w:sz w:val="22"/>
      <w:szCs w:val="22"/>
      <w:lang w:val="en-US" w:eastAsia="en-US" w:bidi="en-US"/>
    </w:rPr>
  </w:style>
  <w:style w:type="paragraph" w:customStyle="1" w:styleId="98">
    <w:name w:val="_Style 38"/>
    <w:qFormat/>
    <w:uiPriority w:val="0"/>
    <w:pPr>
      <w:widowControl w:val="0"/>
      <w:autoSpaceDE/>
      <w:autoSpaceDN/>
      <w:jc w:val="both"/>
    </w:pPr>
    <w:rPr>
      <w:rFonts w:ascii="Times New Roman" w:hAnsi="Times New Roman" w:eastAsia="宋体" w:cs="Times New Roman"/>
      <w:kern w:val="2"/>
      <w:sz w:val="21"/>
      <w:szCs w:val="24"/>
      <w:lang w:val="en-US" w:eastAsia="zh-CN" w:bidi="ar-SA"/>
    </w:rPr>
  </w:style>
  <w:style w:type="character" w:customStyle="1" w:styleId="99">
    <w:name w:val="unnamed11"/>
    <w:qFormat/>
    <w:uiPriority w:val="0"/>
    <w:rPr>
      <w:rFonts w:hint="eastAsia" w:ascii="宋体" w:hAnsi="宋体" w:eastAsia="宋体"/>
      <w:sz w:val="21"/>
      <w:szCs w:val="21"/>
    </w:rPr>
  </w:style>
  <w:style w:type="character" w:customStyle="1" w:styleId="100">
    <w:name w:val="书籍标题1"/>
    <w:qFormat/>
    <w:uiPriority w:val="0"/>
    <w:rPr>
      <w:b/>
      <w:bCs/>
      <w:smallCaps/>
      <w:spacing w:val="5"/>
    </w:rPr>
  </w:style>
  <w:style w:type="character" w:customStyle="1" w:styleId="101">
    <w:name w:val="font161"/>
    <w:qFormat/>
    <w:uiPriority w:val="0"/>
    <w:rPr>
      <w:b/>
      <w:bCs/>
      <w:sz w:val="32"/>
      <w:szCs w:val="32"/>
    </w:rPr>
  </w:style>
  <w:style w:type="character" w:customStyle="1" w:styleId="102">
    <w:name w:val="不明显强调1"/>
    <w:qFormat/>
    <w:uiPriority w:val="0"/>
    <w:rPr>
      <w:i/>
      <w:iCs/>
      <w:color w:val="808080"/>
    </w:rPr>
  </w:style>
  <w:style w:type="character" w:customStyle="1" w:styleId="103">
    <w:name w:val="明显参考1"/>
    <w:qFormat/>
    <w:uiPriority w:val="0"/>
    <w:rPr>
      <w:b/>
      <w:bCs/>
      <w:smallCaps/>
      <w:color w:val="C0504D"/>
      <w:spacing w:val="5"/>
      <w:u w:val="single"/>
    </w:rPr>
  </w:style>
  <w:style w:type="character" w:customStyle="1" w:styleId="104">
    <w:name w:val="批注文字 Char"/>
    <w:qFormat/>
    <w:uiPriority w:val="0"/>
    <w:rPr>
      <w:rFonts w:ascii="Times New Roman" w:hAnsi="Times New Roman" w:cs="Times New Roman"/>
      <w:kern w:val="2"/>
      <w:sz w:val="21"/>
      <w:szCs w:val="24"/>
    </w:rPr>
  </w:style>
  <w:style w:type="character" w:customStyle="1" w:styleId="105">
    <w:name w:val="样式 标书正文 + 下划线 Char"/>
    <w:qFormat/>
    <w:uiPriority w:val="0"/>
    <w:rPr>
      <w:rFonts w:eastAsia="楷体_GB2312"/>
      <w:kern w:val="2"/>
      <w:sz w:val="28"/>
      <w:szCs w:val="28"/>
      <w:u w:val="single"/>
      <w:lang w:val="en-US" w:eastAsia="zh-CN" w:bidi="ar-SA"/>
    </w:rPr>
  </w:style>
  <w:style w:type="character" w:customStyle="1" w:styleId="106">
    <w:name w:val="引用 字符"/>
    <w:link w:val="107"/>
    <w:qFormat/>
    <w:uiPriority w:val="0"/>
    <w:rPr>
      <w:rFonts w:ascii="Times New Roman" w:hAnsi="Times New Roman" w:cs="Times New Roman"/>
      <w:i/>
      <w:iCs/>
      <w:color w:val="000000"/>
      <w:szCs w:val="24"/>
    </w:rPr>
  </w:style>
  <w:style w:type="paragraph" w:styleId="107">
    <w:name w:val="Quote"/>
    <w:basedOn w:val="1"/>
    <w:next w:val="1"/>
    <w:link w:val="106"/>
    <w:qFormat/>
    <w:uiPriority w:val="0"/>
    <w:pPr>
      <w:autoSpaceDE/>
      <w:autoSpaceDN/>
      <w:jc w:val="both"/>
    </w:pPr>
    <w:rPr>
      <w:rFonts w:ascii="Times New Roman" w:hAnsi="Times New Roman" w:cs="Times New Roman" w:eastAsiaTheme="minorEastAsia"/>
      <w:i/>
      <w:iCs/>
      <w:color w:val="000000"/>
      <w:szCs w:val="24"/>
      <w:lang w:eastAsia="en-US"/>
    </w:rPr>
  </w:style>
  <w:style w:type="character" w:customStyle="1" w:styleId="108">
    <w:name w:val="引用 字符1"/>
    <w:basedOn w:val="47"/>
    <w:qFormat/>
    <w:uiPriority w:val="29"/>
    <w:rPr>
      <w:rFonts w:ascii="宋体" w:hAnsi="宋体" w:eastAsia="宋体" w:cs="宋体"/>
      <w:i/>
      <w:iCs/>
      <w:color w:val="404040" w:themeColor="text1" w:themeTint="BF"/>
      <w:lang w:eastAsia="zh-CN"/>
      <w14:textFill>
        <w14:solidFill>
          <w14:schemeClr w14:val="tx1">
            <w14:lumMod w14:val="75000"/>
            <w14:lumOff w14:val="25000"/>
          </w14:schemeClr>
        </w14:solidFill>
      </w14:textFill>
    </w:rPr>
  </w:style>
  <w:style w:type="character" w:customStyle="1" w:styleId="109">
    <w:name w:val="明显引用 字符"/>
    <w:link w:val="110"/>
    <w:qFormat/>
    <w:uiPriority w:val="0"/>
    <w:rPr>
      <w:rFonts w:ascii="Times New Roman" w:hAnsi="Times New Roman" w:cs="Times New Roman"/>
      <w:b/>
      <w:bCs/>
      <w:i/>
      <w:iCs/>
      <w:color w:val="4F81BD"/>
      <w:szCs w:val="24"/>
    </w:rPr>
  </w:style>
  <w:style w:type="paragraph" w:styleId="110">
    <w:name w:val="Intense Quote"/>
    <w:basedOn w:val="1"/>
    <w:next w:val="1"/>
    <w:link w:val="109"/>
    <w:qFormat/>
    <w:uiPriority w:val="0"/>
    <w:pPr>
      <w:pBdr>
        <w:bottom w:val="single" w:color="4F81BD" w:sz="4" w:space="4"/>
      </w:pBdr>
      <w:autoSpaceDE/>
      <w:autoSpaceDN/>
      <w:spacing w:before="200" w:after="280"/>
      <w:ind w:left="936" w:right="936"/>
      <w:jc w:val="both"/>
    </w:pPr>
    <w:rPr>
      <w:rFonts w:ascii="Times New Roman" w:hAnsi="Times New Roman" w:cs="Times New Roman" w:eastAsiaTheme="minorEastAsia"/>
      <w:b/>
      <w:bCs/>
      <w:i/>
      <w:iCs/>
      <w:color w:val="4F81BD"/>
      <w:szCs w:val="24"/>
      <w:lang w:eastAsia="en-US"/>
    </w:rPr>
  </w:style>
  <w:style w:type="character" w:customStyle="1" w:styleId="111">
    <w:name w:val="明显引用 字符1"/>
    <w:basedOn w:val="47"/>
    <w:qFormat/>
    <w:uiPriority w:val="30"/>
    <w:rPr>
      <w:rFonts w:ascii="宋体" w:hAnsi="宋体" w:eastAsia="宋体" w:cs="宋体"/>
      <w:i/>
      <w:iCs/>
      <w:color w:val="4F81BD" w:themeColor="accent1"/>
      <w:lang w:eastAsia="zh-CN"/>
      <w14:textFill>
        <w14:solidFill>
          <w14:schemeClr w14:val="accent1"/>
        </w14:solidFill>
      </w14:textFill>
    </w:rPr>
  </w:style>
  <w:style w:type="character" w:customStyle="1" w:styleId="112">
    <w:name w:val="不明显参考1"/>
    <w:qFormat/>
    <w:uiPriority w:val="0"/>
    <w:rPr>
      <w:smallCaps/>
      <w:color w:val="C0504D"/>
      <w:u w:val="single"/>
    </w:rPr>
  </w:style>
  <w:style w:type="character" w:customStyle="1" w:styleId="113">
    <w:name w:val="样式 超链接 + 仿宋_GB2312 小四 加粗"/>
    <w:qFormat/>
    <w:uiPriority w:val="0"/>
    <w:rPr>
      <w:rFonts w:ascii="仿宋_GB2312" w:hAnsi="仿宋_GB2312" w:eastAsia="黑体"/>
      <w:b/>
      <w:bCs/>
      <w:color w:val="auto"/>
      <w:sz w:val="24"/>
      <w:u w:val="none"/>
    </w:rPr>
  </w:style>
  <w:style w:type="character" w:customStyle="1" w:styleId="114">
    <w:name w:val="纯文本 Char"/>
    <w:qFormat/>
    <w:uiPriority w:val="0"/>
    <w:rPr>
      <w:rFonts w:ascii="宋体" w:hAnsi="Courier New" w:cs="Courier New"/>
      <w:kern w:val="2"/>
      <w:sz w:val="21"/>
      <w:szCs w:val="21"/>
    </w:rPr>
  </w:style>
  <w:style w:type="character" w:customStyle="1" w:styleId="115">
    <w:name w:val="日期 Char1"/>
    <w:basedOn w:val="47"/>
    <w:qFormat/>
    <w:uiPriority w:val="0"/>
    <w:rPr>
      <w:rFonts w:ascii="Times New Roman" w:hAnsi="Times New Roman" w:eastAsia="宋体" w:cs="Times New Roman"/>
      <w:szCs w:val="24"/>
    </w:rPr>
  </w:style>
  <w:style w:type="character" w:customStyle="1" w:styleId="116">
    <w:name w:val="副标题 Char1"/>
    <w:basedOn w:val="47"/>
    <w:qFormat/>
    <w:uiPriority w:val="11"/>
    <w:rPr>
      <w:rFonts w:eastAsia="宋体" w:asciiTheme="majorHAnsi" w:hAnsiTheme="majorHAnsi" w:cstheme="majorBidi"/>
      <w:b/>
      <w:bCs/>
      <w:kern w:val="28"/>
      <w:sz w:val="32"/>
      <w:szCs w:val="32"/>
    </w:rPr>
  </w:style>
  <w:style w:type="paragraph" w:customStyle="1" w:styleId="117">
    <w:name w:val="表格"/>
    <w:basedOn w:val="1"/>
    <w:qFormat/>
    <w:uiPriority w:val="0"/>
    <w:pPr>
      <w:autoSpaceDE/>
      <w:autoSpaceDN/>
      <w:jc w:val="center"/>
      <w:textAlignment w:val="center"/>
    </w:pPr>
    <w:rPr>
      <w:rFonts w:ascii="华文细黑" w:hAnsi="华文细黑" w:cs="Times New Roman"/>
      <w:sz w:val="21"/>
      <w:szCs w:val="20"/>
    </w:rPr>
  </w:style>
  <w:style w:type="character" w:customStyle="1" w:styleId="118">
    <w:name w:val="批注主题 Char1"/>
    <w:basedOn w:val="83"/>
    <w:qFormat/>
    <w:uiPriority w:val="0"/>
    <w:rPr>
      <w:rFonts w:ascii="Times New Roman" w:hAnsi="Times New Roman" w:eastAsia="宋体" w:cs="Times New Roman"/>
      <w:b/>
      <w:bCs/>
      <w:kern w:val="2"/>
      <w:sz w:val="21"/>
      <w:szCs w:val="24"/>
      <w:lang w:eastAsia="zh-CN"/>
    </w:rPr>
  </w:style>
  <w:style w:type="paragraph" w:customStyle="1" w:styleId="119">
    <w:name w:val="Char1"/>
    <w:basedOn w:val="1"/>
    <w:qFormat/>
    <w:uiPriority w:val="0"/>
    <w:pPr>
      <w:widowControl/>
      <w:autoSpaceDE/>
      <w:autoSpaceDN/>
      <w:spacing w:after="160" w:line="240" w:lineRule="exact"/>
    </w:pPr>
    <w:rPr>
      <w:rFonts w:cs="Times New Roman"/>
      <w:sz w:val="20"/>
      <w:szCs w:val="20"/>
      <w:lang w:eastAsia="en-US"/>
    </w:rPr>
  </w:style>
  <w:style w:type="character" w:customStyle="1" w:styleId="120">
    <w:name w:val="标题 Char1"/>
    <w:basedOn w:val="47"/>
    <w:qFormat/>
    <w:uiPriority w:val="10"/>
    <w:rPr>
      <w:rFonts w:eastAsia="宋体" w:asciiTheme="majorHAnsi" w:hAnsiTheme="majorHAnsi" w:cstheme="majorBidi"/>
      <w:b/>
      <w:bCs/>
      <w:sz w:val="32"/>
      <w:szCs w:val="32"/>
    </w:rPr>
  </w:style>
  <w:style w:type="character" w:customStyle="1" w:styleId="121">
    <w:name w:val="文档结构图 Char1"/>
    <w:basedOn w:val="47"/>
    <w:qFormat/>
    <w:uiPriority w:val="0"/>
    <w:rPr>
      <w:rFonts w:ascii="宋体" w:hAnsi="Times New Roman" w:eastAsia="宋体" w:cs="Times New Roman"/>
      <w:sz w:val="18"/>
      <w:szCs w:val="18"/>
    </w:rPr>
  </w:style>
  <w:style w:type="character" w:customStyle="1" w:styleId="122">
    <w:name w:val="正文文本 Char1"/>
    <w:basedOn w:val="47"/>
    <w:qFormat/>
    <w:uiPriority w:val="0"/>
    <w:rPr>
      <w:rFonts w:ascii="Times New Roman" w:hAnsi="Times New Roman" w:eastAsia="宋体" w:cs="Times New Roman"/>
      <w:szCs w:val="24"/>
    </w:rPr>
  </w:style>
  <w:style w:type="paragraph" w:customStyle="1" w:styleId="123">
    <w:name w:val="样式1"/>
    <w:basedOn w:val="1"/>
    <w:next w:val="5"/>
    <w:link w:val="124"/>
    <w:qFormat/>
    <w:uiPriority w:val="0"/>
    <w:pPr>
      <w:autoSpaceDE/>
      <w:autoSpaceDN/>
      <w:spacing w:line="360" w:lineRule="auto"/>
      <w:ind w:firstLine="420" w:firstLineChars="200"/>
      <w:jc w:val="both"/>
    </w:pPr>
    <w:rPr>
      <w:rFonts w:cs="Times New Roman"/>
      <w:kern w:val="2"/>
      <w:sz w:val="21"/>
      <w:szCs w:val="21"/>
    </w:rPr>
  </w:style>
  <w:style w:type="character" w:customStyle="1" w:styleId="124">
    <w:name w:val="样式1 字符"/>
    <w:link w:val="123"/>
    <w:qFormat/>
    <w:uiPriority w:val="0"/>
    <w:rPr>
      <w:rFonts w:ascii="宋体" w:hAnsi="宋体" w:eastAsia="宋体" w:cs="Times New Roman"/>
      <w:kern w:val="2"/>
      <w:sz w:val="21"/>
      <w:szCs w:val="21"/>
      <w:lang w:eastAsia="zh-CN"/>
    </w:rPr>
  </w:style>
  <w:style w:type="character" w:customStyle="1" w:styleId="125">
    <w:name w:val="引用 Char1"/>
    <w:basedOn w:val="47"/>
    <w:qFormat/>
    <w:uiPriority w:val="0"/>
    <w:rPr>
      <w:rFonts w:ascii="Times New Roman" w:hAnsi="Times New Roman" w:eastAsia="宋体" w:cs="Times New Roman"/>
      <w:i/>
      <w:iCs/>
      <w:color w:val="000000" w:themeColor="text1"/>
      <w:szCs w:val="24"/>
      <w14:textFill>
        <w14:solidFill>
          <w14:schemeClr w14:val="tx1"/>
        </w14:solidFill>
      </w14:textFill>
    </w:rPr>
  </w:style>
  <w:style w:type="paragraph" w:customStyle="1" w:styleId="126">
    <w:name w:val="样式 标题 3 + 仿宋_GB2312 小四 段前: 0 磅 段后: 0 磅"/>
    <w:basedOn w:val="4"/>
    <w:qFormat/>
    <w:uiPriority w:val="0"/>
    <w:pPr>
      <w:keepNext/>
      <w:keepLines/>
      <w:autoSpaceDE/>
      <w:autoSpaceDN/>
      <w:spacing w:before="260" w:beforeLines="50" w:line="415" w:lineRule="auto"/>
      <w:jc w:val="center"/>
    </w:pPr>
    <w:rPr>
      <w:rFonts w:ascii="仿宋_GB2312" w:hAnsi="Times New Roman" w:eastAsia="仿宋_GB2312" w:cs="宋体"/>
      <w:sz w:val="24"/>
      <w:szCs w:val="20"/>
      <w:lang w:val="zh-CN"/>
    </w:rPr>
  </w:style>
  <w:style w:type="paragraph" w:customStyle="1" w:styleId="127">
    <w:name w:val="表格文字"/>
    <w:basedOn w:val="1"/>
    <w:qFormat/>
    <w:uiPriority w:val="0"/>
    <w:pPr>
      <w:autoSpaceDE/>
      <w:autoSpaceDN/>
      <w:adjustRightInd w:val="0"/>
      <w:spacing w:line="420" w:lineRule="atLeast"/>
      <w:textAlignment w:val="baseline"/>
    </w:pPr>
    <w:rPr>
      <w:rFonts w:ascii="Times New Roman" w:hAnsi="Times New Roman" w:cs="Times New Roman"/>
      <w:sz w:val="21"/>
      <w:szCs w:val="20"/>
    </w:rPr>
  </w:style>
  <w:style w:type="paragraph" w:customStyle="1" w:styleId="128">
    <w:name w:val="样式 标题 3 + (中文) 黑体 小四 非加粗 段前: 7.8 磅 段后: 0 磅 行距: 固定值 20 磅"/>
    <w:basedOn w:val="4"/>
    <w:qFormat/>
    <w:uiPriority w:val="0"/>
    <w:pPr>
      <w:keepNext/>
      <w:keepLines/>
      <w:autoSpaceDE/>
      <w:autoSpaceDN/>
      <w:spacing w:line="400" w:lineRule="exact"/>
      <w:jc w:val="both"/>
    </w:pPr>
    <w:rPr>
      <w:rFonts w:ascii="Times New Roman" w:hAnsi="Times New Roman" w:eastAsia="黑体" w:cs="宋体"/>
      <w:b w:val="0"/>
      <w:bCs w:val="0"/>
      <w:kern w:val="2"/>
      <w:sz w:val="24"/>
      <w:szCs w:val="20"/>
      <w:lang w:val="zh-CN"/>
    </w:rPr>
  </w:style>
  <w:style w:type="paragraph" w:customStyle="1" w:styleId="129">
    <w:name w:val="样式 样式 正文首行缩进 2 + 首行缩进:  2 字符 + 首行缩进:  2 字符"/>
    <w:basedOn w:val="1"/>
    <w:qFormat/>
    <w:uiPriority w:val="0"/>
    <w:pPr>
      <w:widowControl/>
      <w:autoSpaceDE/>
      <w:autoSpaceDN/>
      <w:spacing w:line="360" w:lineRule="auto"/>
      <w:ind w:firstLine="420" w:firstLineChars="200"/>
      <w:jc w:val="both"/>
      <w:textAlignment w:val="baseline"/>
    </w:pPr>
    <w:rPr>
      <w:rFonts w:ascii="Times New Roman" w:hAnsi="Times New Roman" w:cs="Times New Roman"/>
      <w:color w:val="000000"/>
      <w:sz w:val="24"/>
      <w:szCs w:val="20"/>
      <w:u w:color="000000"/>
    </w:rPr>
  </w:style>
  <w:style w:type="paragraph" w:customStyle="1" w:styleId="130">
    <w:name w:val="Blockquote"/>
    <w:basedOn w:val="1"/>
    <w:qFormat/>
    <w:uiPriority w:val="0"/>
    <w:pPr>
      <w:adjustRightInd w:val="0"/>
      <w:spacing w:before="100" w:after="100"/>
      <w:ind w:left="360" w:right="360"/>
    </w:pPr>
    <w:rPr>
      <w:rFonts w:ascii="Times New Roman" w:hAnsi="Times New Roman" w:cs="Times New Roman"/>
      <w:sz w:val="24"/>
      <w:szCs w:val="20"/>
    </w:rPr>
  </w:style>
  <w:style w:type="paragraph" w:customStyle="1" w:styleId="131">
    <w:name w:val="1"/>
    <w:basedOn w:val="1"/>
    <w:qFormat/>
    <w:uiPriority w:val="0"/>
    <w:pPr>
      <w:autoSpaceDE/>
      <w:autoSpaceDN/>
      <w:jc w:val="both"/>
    </w:pPr>
    <w:rPr>
      <w:rFonts w:ascii="Times New Roman" w:hAnsi="Times New Roman" w:cs="Times New Roman"/>
      <w:kern w:val="2"/>
      <w:sz w:val="21"/>
      <w:szCs w:val="24"/>
    </w:rPr>
  </w:style>
  <w:style w:type="paragraph" w:customStyle="1" w:styleId="132">
    <w:name w:val="TOC 标题1"/>
    <w:basedOn w:val="2"/>
    <w:next w:val="1"/>
    <w:qFormat/>
    <w:uiPriority w:val="0"/>
    <w:pPr>
      <w:keepNext/>
      <w:keepLines/>
      <w:widowControl/>
      <w:autoSpaceDE/>
      <w:autoSpaceDN/>
      <w:spacing w:before="480" w:line="276" w:lineRule="auto"/>
      <w:ind w:right="0"/>
      <w:jc w:val="left"/>
      <w:outlineLvl w:val="9"/>
    </w:pPr>
    <w:rPr>
      <w:rFonts w:ascii="Cambria" w:hAnsi="Cambria" w:eastAsia="宋体" w:cs="Times New Roman"/>
      <w:color w:val="365F91"/>
      <w:sz w:val="28"/>
      <w:szCs w:val="28"/>
      <w:lang w:val="zh-CN"/>
    </w:rPr>
  </w:style>
  <w:style w:type="paragraph" w:customStyle="1" w:styleId="133">
    <w:name w:val="样式 标题 2 + Times New Roman 四号 非加粗 段前: 5 磅 段后: 0 磅 行距: 固定值 20..."/>
    <w:basedOn w:val="3"/>
    <w:qFormat/>
    <w:uiPriority w:val="0"/>
    <w:pPr>
      <w:keepNext/>
      <w:keepLines/>
      <w:autoSpaceDE/>
      <w:autoSpaceDN/>
      <w:spacing w:before="100" w:line="400" w:lineRule="exact"/>
      <w:ind w:left="0"/>
      <w:jc w:val="both"/>
    </w:pPr>
    <w:rPr>
      <w:rFonts w:ascii="Times New Roman" w:hAnsi="Times New Roman" w:eastAsia="黑体"/>
      <w:kern w:val="2"/>
      <w:sz w:val="28"/>
      <w:szCs w:val="20"/>
      <w:lang w:val="zh-CN"/>
    </w:rPr>
  </w:style>
  <w:style w:type="character" w:customStyle="1" w:styleId="134">
    <w:name w:val="明显引用 Char1"/>
    <w:basedOn w:val="47"/>
    <w:qFormat/>
    <w:uiPriority w:val="0"/>
    <w:rPr>
      <w:rFonts w:ascii="Times New Roman" w:hAnsi="Times New Roman" w:eastAsia="宋体" w:cs="Times New Roman"/>
      <w:b/>
      <w:bCs/>
      <w:i/>
      <w:iCs/>
      <w:color w:val="4F81BD" w:themeColor="accent1"/>
      <w:szCs w:val="24"/>
      <w14:textFill>
        <w14:solidFill>
          <w14:schemeClr w14:val="accent1"/>
        </w14:solidFill>
      </w14:textFill>
    </w:rPr>
  </w:style>
  <w:style w:type="paragraph" w:customStyle="1" w:styleId="135">
    <w:name w:val="文档正文"/>
    <w:basedOn w:val="1"/>
    <w:link w:val="136"/>
    <w:qFormat/>
    <w:uiPriority w:val="0"/>
    <w:pPr>
      <w:autoSpaceDE/>
      <w:autoSpaceDN/>
      <w:adjustRightInd w:val="0"/>
      <w:spacing w:line="480" w:lineRule="atLeast"/>
      <w:ind w:firstLine="567"/>
      <w:jc w:val="both"/>
      <w:textAlignment w:val="baseline"/>
    </w:pPr>
    <w:rPr>
      <w:rFonts w:ascii="仿宋_GB2312" w:hAnsi="Times New Roman" w:eastAsia="仿宋_GB2312" w:cs="Times New Roman"/>
      <w:sz w:val="28"/>
      <w:szCs w:val="20"/>
    </w:rPr>
  </w:style>
  <w:style w:type="character" w:customStyle="1" w:styleId="136">
    <w:name w:val="文档正文 Char Char"/>
    <w:link w:val="135"/>
    <w:qFormat/>
    <w:uiPriority w:val="0"/>
    <w:rPr>
      <w:rFonts w:ascii="仿宋_GB2312" w:hAnsi="Times New Roman" w:eastAsia="仿宋_GB2312" w:cs="Times New Roman"/>
      <w:sz w:val="28"/>
      <w:szCs w:val="20"/>
      <w:lang w:eastAsia="zh-CN"/>
    </w:rPr>
  </w:style>
  <w:style w:type="paragraph" w:customStyle="1" w:styleId="137">
    <w:name w:val="样式 标题 1 + 黑体 三号 非加粗 居中 段前: 6 磅 段后: 6 磅 行距: 固定值 20 磅"/>
    <w:basedOn w:val="2"/>
    <w:qFormat/>
    <w:uiPriority w:val="0"/>
    <w:pPr>
      <w:keepNext/>
      <w:keepLines/>
      <w:autoSpaceDE/>
      <w:autoSpaceDN/>
      <w:spacing w:before="120" w:after="120" w:line="400" w:lineRule="exact"/>
      <w:ind w:right="0"/>
    </w:pPr>
    <w:rPr>
      <w:rFonts w:ascii="黑体" w:hAnsi="黑体" w:eastAsia="黑体" w:cs="宋体"/>
      <w:b w:val="0"/>
      <w:bCs w:val="0"/>
      <w:kern w:val="44"/>
      <w:sz w:val="32"/>
      <w:szCs w:val="20"/>
      <w:lang w:val="zh-CN"/>
    </w:rPr>
  </w:style>
  <w:style w:type="paragraph" w:customStyle="1" w:styleId="138">
    <w:name w:val="Char"/>
    <w:basedOn w:val="1"/>
    <w:qFormat/>
    <w:uiPriority w:val="0"/>
    <w:pPr>
      <w:autoSpaceDE/>
      <w:autoSpaceDN/>
      <w:adjustRightInd w:val="0"/>
      <w:spacing w:line="360" w:lineRule="atLeast"/>
      <w:jc w:val="both"/>
      <w:textAlignment w:val="baseline"/>
    </w:pPr>
    <w:rPr>
      <w:rFonts w:ascii="Times New Roman" w:hAnsi="Times New Roman" w:cs="Times New Roman"/>
      <w:kern w:val="2"/>
      <w:sz w:val="21"/>
      <w:szCs w:val="24"/>
    </w:rPr>
  </w:style>
  <w:style w:type="paragraph" w:customStyle="1" w:styleId="139">
    <w:name w:val="6'"/>
    <w:basedOn w:val="1"/>
    <w:qFormat/>
    <w:uiPriority w:val="0"/>
    <w:pPr>
      <w:adjustRightInd w:val="0"/>
      <w:snapToGrid w:val="0"/>
      <w:spacing w:line="320" w:lineRule="exact"/>
      <w:jc w:val="center"/>
      <w:textAlignment w:val="baseline"/>
    </w:pPr>
    <w:rPr>
      <w:rFonts w:ascii="Times New Roman" w:hAnsi="Times New Roman" w:cs="Times New Roman"/>
      <w:spacing w:val="20"/>
      <w:kern w:val="28"/>
      <w:sz w:val="21"/>
      <w:szCs w:val="20"/>
    </w:rPr>
  </w:style>
  <w:style w:type="paragraph" w:customStyle="1" w:styleId="140">
    <w:name w:val="blockquote"/>
    <w:basedOn w:val="1"/>
    <w:qFormat/>
    <w:uiPriority w:val="0"/>
    <w:pPr>
      <w:widowControl/>
      <w:autoSpaceDE/>
      <w:autoSpaceDN/>
      <w:spacing w:before="100" w:beforeAutospacing="1" w:after="100" w:afterAutospacing="1"/>
    </w:pPr>
    <w:rPr>
      <w:sz w:val="24"/>
      <w:szCs w:val="24"/>
    </w:rPr>
  </w:style>
  <w:style w:type="paragraph" w:customStyle="1" w:styleId="141">
    <w:name w:val="Char2"/>
    <w:basedOn w:val="1"/>
    <w:qFormat/>
    <w:locked/>
    <w:uiPriority w:val="0"/>
    <w:pPr>
      <w:widowControl/>
      <w:autoSpaceDE/>
      <w:autoSpaceDN/>
      <w:spacing w:after="160" w:line="240" w:lineRule="exact"/>
    </w:pPr>
    <w:rPr>
      <w:rFonts w:ascii="Verdana" w:hAnsi="Verdana" w:eastAsia="仿宋_GB2312" w:cs="Times New Roman"/>
      <w:sz w:val="24"/>
      <w:szCs w:val="20"/>
      <w:lang w:eastAsia="en-US"/>
    </w:rPr>
  </w:style>
  <w:style w:type="character" w:customStyle="1" w:styleId="142">
    <w:name w:val="正文文字 Char Char"/>
    <w:link w:val="143"/>
    <w:qFormat/>
    <w:uiPriority w:val="0"/>
    <w:rPr>
      <w:rFonts w:ascii="仿宋_GB2312" w:eastAsia="仿宋_GB2312"/>
      <w:sz w:val="28"/>
      <w:szCs w:val="28"/>
    </w:rPr>
  </w:style>
  <w:style w:type="paragraph" w:customStyle="1" w:styleId="143">
    <w:name w:val="正文文字"/>
    <w:link w:val="142"/>
    <w:qFormat/>
    <w:uiPriority w:val="0"/>
    <w:pPr>
      <w:widowControl w:val="0"/>
      <w:autoSpaceDE/>
      <w:autoSpaceDN/>
      <w:spacing w:line="480" w:lineRule="exact"/>
      <w:ind w:firstLine="200" w:firstLineChars="200"/>
    </w:pPr>
    <w:rPr>
      <w:rFonts w:ascii="仿宋_GB2312" w:eastAsia="仿宋_GB2312" w:hAnsiTheme="minorHAnsi" w:cstheme="minorBidi"/>
      <w:sz w:val="28"/>
      <w:szCs w:val="28"/>
      <w:lang w:val="en-US" w:eastAsia="en-US" w:bidi="ar-SA"/>
    </w:rPr>
  </w:style>
  <w:style w:type="paragraph" w:customStyle="1" w:styleId="144">
    <w:name w:val="xl24"/>
    <w:basedOn w:val="1"/>
    <w:qFormat/>
    <w:uiPriority w:val="0"/>
    <w:pPr>
      <w:widowControl/>
      <w:pBdr>
        <w:top w:val="single" w:color="auto" w:sz="4" w:space="0"/>
        <w:left w:val="single" w:color="auto" w:sz="4" w:space="0"/>
        <w:bottom w:val="single" w:color="auto" w:sz="4" w:space="0"/>
        <w:right w:val="single" w:color="auto" w:sz="4" w:space="0"/>
      </w:pBdr>
      <w:autoSpaceDE/>
      <w:autoSpaceDN/>
      <w:spacing w:before="100" w:beforeAutospacing="1" w:after="100" w:afterAutospacing="1"/>
    </w:pPr>
    <w:rPr>
      <w:rFonts w:ascii="Arial Unicode MS" w:hAnsi="Arial Unicode MS" w:cs="Arial Unicode MS"/>
      <w:sz w:val="16"/>
      <w:szCs w:val="16"/>
    </w:rPr>
  </w:style>
  <w:style w:type="paragraph" w:customStyle="1" w:styleId="145">
    <w:name w:val="表格内容z"/>
    <w:basedOn w:val="1"/>
    <w:qFormat/>
    <w:uiPriority w:val="0"/>
    <w:pPr>
      <w:adjustRightInd w:val="0"/>
      <w:spacing w:before="80" w:after="80" w:line="320" w:lineRule="exact"/>
      <w:jc w:val="center"/>
      <w:textAlignment w:val="baseline"/>
    </w:pPr>
    <w:rPr>
      <w:rFonts w:ascii="仿宋_GB2312" w:hAnsi="Times New Roman" w:eastAsia="仿宋_GB2312" w:cs="Times New Roman"/>
      <w:color w:val="000000"/>
      <w:sz w:val="24"/>
      <w:szCs w:val="20"/>
    </w:rPr>
  </w:style>
  <w:style w:type="paragraph" w:customStyle="1" w:styleId="146">
    <w:name w:val="样式 文档正文 + 行距: 固定值 24 磅"/>
    <w:basedOn w:val="1"/>
    <w:qFormat/>
    <w:uiPriority w:val="0"/>
    <w:pPr>
      <w:autoSpaceDE/>
      <w:autoSpaceDN/>
      <w:adjustRightInd w:val="0"/>
      <w:spacing w:line="480" w:lineRule="exact"/>
      <w:ind w:firstLine="567"/>
      <w:jc w:val="both"/>
      <w:textAlignment w:val="baseline"/>
    </w:pPr>
    <w:rPr>
      <w:rFonts w:ascii="仿宋_GB2312" w:hAnsi="Times New Roman" w:eastAsia="仿宋_GB2312"/>
      <w:sz w:val="28"/>
      <w:szCs w:val="28"/>
    </w:rPr>
  </w:style>
  <w:style w:type="character" w:customStyle="1" w:styleId="147">
    <w:name w:val="正文文本首行缩进 2 字符"/>
    <w:basedOn w:val="85"/>
    <w:link w:val="45"/>
    <w:qFormat/>
    <w:uiPriority w:val="0"/>
    <w:rPr>
      <w:rFonts w:ascii="Times New Roman" w:hAnsi="Times New Roman" w:eastAsia="宋体" w:cs="Times New Roman"/>
      <w:kern w:val="2"/>
      <w:sz w:val="21"/>
      <w:szCs w:val="24"/>
      <w:lang w:eastAsia="zh-CN"/>
    </w:rPr>
  </w:style>
  <w:style w:type="paragraph" w:customStyle="1" w:styleId="148">
    <w:name w:val="TOC Heading"/>
    <w:basedOn w:val="2"/>
    <w:next w:val="1"/>
    <w:unhideWhenUsed/>
    <w:qFormat/>
    <w:uiPriority w:val="39"/>
    <w:pPr>
      <w:keepNext/>
      <w:keepLines/>
      <w:widowControl/>
      <w:autoSpaceDE/>
      <w:autoSpaceDN/>
      <w:spacing w:before="240" w:line="259" w:lineRule="auto"/>
      <w:ind w:right="0"/>
      <w:jc w:val="left"/>
      <w:outlineLvl w:val="9"/>
    </w:pPr>
    <w:rPr>
      <w:rFonts w:asciiTheme="majorHAnsi" w:hAnsiTheme="majorHAnsi" w:eastAsiaTheme="majorEastAsia" w:cstheme="majorBidi"/>
      <w:b w:val="0"/>
      <w:bCs w:val="0"/>
      <w:color w:val="376092" w:themeColor="accent1" w:themeShade="BF"/>
      <w:sz w:val="32"/>
      <w:szCs w:val="32"/>
    </w:rPr>
  </w:style>
  <w:style w:type="character" w:customStyle="1" w:styleId="149">
    <w:name w:val="正文文本 2 字符"/>
    <w:basedOn w:val="47"/>
    <w:link w:val="40"/>
    <w:qFormat/>
    <w:uiPriority w:val="0"/>
    <w:rPr>
      <w:rFonts w:ascii="Times New Roman" w:hAnsi="Times New Roman" w:eastAsia="黑体" w:cs="Times New Roman"/>
      <w:kern w:val="2"/>
      <w:sz w:val="72"/>
      <w:szCs w:val="72"/>
      <w:lang w:eastAsia="zh-CN"/>
    </w:rPr>
  </w:style>
  <w:style w:type="character" w:customStyle="1" w:styleId="150">
    <w:name w:val="标题 2 字符1"/>
    <w:qFormat/>
    <w:uiPriority w:val="0"/>
    <w:rPr>
      <w:rFonts w:ascii="Cambria" w:hAnsi="Cambria" w:eastAsia="黑体" w:cs="Times New Roman"/>
      <w:b/>
      <w:bCs/>
      <w:kern w:val="0"/>
      <w:sz w:val="32"/>
      <w:szCs w:val="32"/>
    </w:rPr>
  </w:style>
  <w:style w:type="character" w:customStyle="1" w:styleId="151">
    <w:name w:val="标题 3 字符1"/>
    <w:qFormat/>
    <w:uiPriority w:val="0"/>
    <w:rPr>
      <w:rFonts w:ascii="Times New Roman" w:hAnsi="Times New Roman" w:eastAsia="华文仿宋" w:cs="Times New Roman"/>
      <w:b/>
      <w:kern w:val="0"/>
      <w:sz w:val="28"/>
      <w:szCs w:val="28"/>
    </w:rPr>
  </w:style>
  <w:style w:type="character" w:customStyle="1" w:styleId="152">
    <w:name w:val="Char Char"/>
    <w:qFormat/>
    <w:uiPriority w:val="0"/>
    <w:rPr>
      <w:rFonts w:ascii="Arial" w:hAnsi="Arial" w:eastAsia="黑体"/>
      <w:b/>
      <w:bCs/>
      <w:kern w:val="2"/>
      <w:sz w:val="32"/>
      <w:szCs w:val="32"/>
      <w:lang w:val="en-US" w:eastAsia="zh-CN" w:bidi="ar-SA"/>
    </w:rPr>
  </w:style>
  <w:style w:type="character" w:customStyle="1" w:styleId="153">
    <w:name w:val="正文文本缩进 2 Char Char"/>
    <w:link w:val="154"/>
    <w:qFormat/>
    <w:uiPriority w:val="0"/>
    <w:rPr>
      <w:rFonts w:ascii="Times New Roman" w:hAnsi="Times New Roman" w:eastAsia="宋体" w:cs="Times New Roman"/>
      <w:szCs w:val="21"/>
    </w:rPr>
  </w:style>
  <w:style w:type="paragraph" w:customStyle="1" w:styleId="154">
    <w:name w:val="正文文本缩进 21"/>
    <w:basedOn w:val="1"/>
    <w:link w:val="153"/>
    <w:qFormat/>
    <w:uiPriority w:val="0"/>
    <w:pPr>
      <w:autoSpaceDE/>
      <w:autoSpaceDN/>
      <w:spacing w:after="120" w:line="480" w:lineRule="auto"/>
      <w:ind w:left="420" w:leftChars="200"/>
      <w:jc w:val="both"/>
    </w:pPr>
    <w:rPr>
      <w:rFonts w:ascii="Times New Roman" w:hAnsi="Times New Roman" w:cs="Times New Roman"/>
      <w:szCs w:val="21"/>
      <w:lang w:eastAsia="en-US"/>
    </w:rPr>
  </w:style>
  <w:style w:type="character" w:customStyle="1" w:styleId="155">
    <w:name w:val="Char Char1"/>
    <w:qFormat/>
    <w:uiPriority w:val="0"/>
    <w:rPr>
      <w:rFonts w:eastAsia="宋体"/>
      <w:kern w:val="2"/>
      <w:sz w:val="24"/>
      <w:lang w:val="en-US" w:eastAsia="zh-CN" w:bidi="ar-SA"/>
    </w:rPr>
  </w:style>
  <w:style w:type="character" w:customStyle="1" w:styleId="156">
    <w:name w:val="标题5 Char Char"/>
    <w:link w:val="157"/>
    <w:qFormat/>
    <w:uiPriority w:val="0"/>
    <w:rPr>
      <w:rFonts w:ascii="Arial" w:hAnsi="Arial"/>
      <w:b/>
      <w:bCs/>
      <w:sz w:val="24"/>
      <w:szCs w:val="32"/>
    </w:rPr>
  </w:style>
  <w:style w:type="paragraph" w:customStyle="1" w:styleId="157">
    <w:name w:val="标题5"/>
    <w:basedOn w:val="4"/>
    <w:link w:val="156"/>
    <w:qFormat/>
    <w:uiPriority w:val="0"/>
    <w:pPr>
      <w:keepNext/>
      <w:keepLines/>
      <w:autoSpaceDE/>
      <w:autoSpaceDN/>
      <w:spacing w:before="260" w:line="413" w:lineRule="auto"/>
      <w:jc w:val="both"/>
    </w:pPr>
    <w:rPr>
      <w:rFonts w:ascii="Arial" w:hAnsi="Arial" w:eastAsiaTheme="minorEastAsia" w:cstheme="minorBidi"/>
      <w:sz w:val="24"/>
      <w:lang w:eastAsia="en-US"/>
    </w:rPr>
  </w:style>
  <w:style w:type="character" w:customStyle="1" w:styleId="158">
    <w:name w:val="Balloon Text Char Char"/>
    <w:qFormat/>
    <w:uiPriority w:val="0"/>
    <w:rPr>
      <w:kern w:val="2"/>
      <w:sz w:val="18"/>
      <w:szCs w:val="18"/>
    </w:rPr>
  </w:style>
  <w:style w:type="character" w:customStyle="1" w:styleId="159">
    <w:name w:val="Title Char Char"/>
    <w:qFormat/>
    <w:uiPriority w:val="0"/>
    <w:rPr>
      <w:rFonts w:ascii="Cambria" w:hAnsi="Cambria" w:cs="Cambria"/>
      <w:b/>
      <w:bCs/>
      <w:kern w:val="2"/>
      <w:sz w:val="32"/>
      <w:szCs w:val="32"/>
    </w:rPr>
  </w:style>
  <w:style w:type="character" w:customStyle="1" w:styleId="160">
    <w:name w:val="Char Char Char"/>
    <w:qFormat/>
    <w:uiPriority w:val="0"/>
    <w:rPr>
      <w:rFonts w:ascii="Arial" w:hAnsi="Arial" w:eastAsia="黑体" w:cs="Arial"/>
      <w:b/>
      <w:bCs/>
      <w:kern w:val="2"/>
      <w:sz w:val="32"/>
      <w:szCs w:val="32"/>
      <w:lang w:val="en-US" w:eastAsia="zh-CN"/>
    </w:rPr>
  </w:style>
  <w:style w:type="character" w:customStyle="1" w:styleId="161">
    <w:name w:val="Header Char_403c55d3-44b6-42e1-8366-3c2964b3c1f0"/>
    <w:qFormat/>
    <w:uiPriority w:val="0"/>
    <w:rPr>
      <w:kern w:val="2"/>
      <w:sz w:val="18"/>
      <w:szCs w:val="18"/>
    </w:rPr>
  </w:style>
  <w:style w:type="character" w:customStyle="1" w:styleId="162">
    <w:name w:val="icon_ds1"/>
    <w:qFormat/>
    <w:uiPriority w:val="0"/>
    <w:rPr>
      <w:sz w:val="21"/>
      <w:szCs w:val="21"/>
    </w:rPr>
  </w:style>
  <w:style w:type="character" w:customStyle="1" w:styleId="163">
    <w:name w:val="fr"/>
    <w:basedOn w:val="47"/>
    <w:qFormat/>
    <w:uiPriority w:val="0"/>
  </w:style>
  <w:style w:type="character" w:customStyle="1" w:styleId="164">
    <w:name w:val="正文文本 2 Char Char"/>
    <w:link w:val="165"/>
    <w:qFormat/>
    <w:uiPriority w:val="0"/>
    <w:rPr>
      <w:rFonts w:ascii="Times New Roman" w:hAnsi="Times New Roman" w:eastAsia="黑体" w:cs="Times New Roman"/>
      <w:sz w:val="72"/>
      <w:szCs w:val="72"/>
    </w:rPr>
  </w:style>
  <w:style w:type="paragraph" w:customStyle="1" w:styleId="165">
    <w:name w:val="正文文本 21"/>
    <w:basedOn w:val="1"/>
    <w:link w:val="164"/>
    <w:qFormat/>
    <w:uiPriority w:val="0"/>
    <w:pPr>
      <w:autoSpaceDE/>
      <w:autoSpaceDN/>
      <w:jc w:val="center"/>
    </w:pPr>
    <w:rPr>
      <w:rFonts w:ascii="Times New Roman" w:hAnsi="Times New Roman" w:eastAsia="黑体" w:cs="Times New Roman"/>
      <w:sz w:val="72"/>
      <w:szCs w:val="72"/>
      <w:lang w:eastAsia="en-US"/>
    </w:rPr>
  </w:style>
  <w:style w:type="paragraph" w:customStyle="1" w:styleId="166">
    <w:name w:val="引用1"/>
    <w:basedOn w:val="1"/>
    <w:next w:val="1"/>
    <w:qFormat/>
    <w:uiPriority w:val="0"/>
    <w:pPr>
      <w:autoSpaceDE/>
      <w:autoSpaceDN/>
      <w:jc w:val="both"/>
    </w:pPr>
    <w:rPr>
      <w:rFonts w:ascii="等线" w:hAnsi="等线" w:eastAsia="等线"/>
      <w:i/>
      <w:iCs/>
      <w:color w:val="000000"/>
      <w:kern w:val="2"/>
      <w:sz w:val="21"/>
    </w:rPr>
  </w:style>
  <w:style w:type="character" w:customStyle="1" w:styleId="167">
    <w:name w:val="批注主题 Char Char"/>
    <w:link w:val="168"/>
    <w:qFormat/>
    <w:uiPriority w:val="0"/>
    <w:rPr>
      <w:rFonts w:ascii="Times New Roman" w:hAnsi="Times New Roman" w:eastAsia="宋体" w:cs="Times New Roman"/>
      <w:b/>
      <w:bCs/>
      <w:szCs w:val="21"/>
    </w:rPr>
  </w:style>
  <w:style w:type="paragraph" w:customStyle="1" w:styleId="168">
    <w:name w:val="批注主题1"/>
    <w:basedOn w:val="16"/>
    <w:next w:val="16"/>
    <w:link w:val="167"/>
    <w:qFormat/>
    <w:uiPriority w:val="0"/>
    <w:rPr>
      <w:b/>
      <w:bCs/>
      <w:kern w:val="0"/>
      <w:sz w:val="22"/>
      <w:szCs w:val="21"/>
      <w:lang w:eastAsia="en-US"/>
    </w:rPr>
  </w:style>
  <w:style w:type="character" w:customStyle="1" w:styleId="169">
    <w:name w:val="正文文本缩进 3 Char Char"/>
    <w:link w:val="170"/>
    <w:qFormat/>
    <w:uiPriority w:val="0"/>
    <w:rPr>
      <w:rFonts w:ascii="Times New Roman" w:hAnsi="Times New Roman" w:eastAsia="宋体" w:cs="Times New Roman"/>
      <w:sz w:val="16"/>
      <w:szCs w:val="16"/>
    </w:rPr>
  </w:style>
  <w:style w:type="paragraph" w:customStyle="1" w:styleId="170">
    <w:name w:val="正文文本缩进 31"/>
    <w:basedOn w:val="1"/>
    <w:link w:val="169"/>
    <w:qFormat/>
    <w:uiPriority w:val="0"/>
    <w:pPr>
      <w:autoSpaceDE/>
      <w:autoSpaceDN/>
      <w:spacing w:after="120"/>
      <w:ind w:left="420" w:leftChars="200"/>
      <w:jc w:val="both"/>
    </w:pPr>
    <w:rPr>
      <w:rFonts w:ascii="Times New Roman" w:hAnsi="Times New Roman" w:cs="Times New Roman"/>
      <w:sz w:val="16"/>
      <w:szCs w:val="16"/>
      <w:lang w:eastAsia="en-US"/>
    </w:rPr>
  </w:style>
  <w:style w:type="character" w:customStyle="1" w:styleId="171">
    <w:name w:val="Body Text 3 Char Char"/>
    <w:qFormat/>
    <w:uiPriority w:val="0"/>
    <w:rPr>
      <w:kern w:val="2"/>
      <w:sz w:val="24"/>
      <w:szCs w:val="24"/>
    </w:rPr>
  </w:style>
  <w:style w:type="character" w:customStyle="1" w:styleId="172">
    <w:name w:val="icon_gys"/>
    <w:qFormat/>
    <w:uiPriority w:val="0"/>
    <w:rPr>
      <w:sz w:val="21"/>
      <w:szCs w:val="21"/>
    </w:rPr>
  </w:style>
  <w:style w:type="character" w:customStyle="1" w:styleId="173">
    <w:name w:val="Document Map Char Char"/>
    <w:qFormat/>
    <w:uiPriority w:val="0"/>
    <w:rPr>
      <w:kern w:val="2"/>
      <w:sz w:val="24"/>
      <w:szCs w:val="24"/>
      <w:shd w:val="clear" w:color="auto" w:fill="000080"/>
    </w:rPr>
  </w:style>
  <w:style w:type="character" w:customStyle="1" w:styleId="174">
    <w:name w:val="标题4 Char Char"/>
    <w:link w:val="175"/>
    <w:qFormat/>
    <w:uiPriority w:val="0"/>
    <w:rPr>
      <w:rFonts w:ascii="Arial" w:hAnsi="Arial"/>
      <w:b/>
      <w:bCs/>
      <w:sz w:val="24"/>
      <w:szCs w:val="32"/>
    </w:rPr>
  </w:style>
  <w:style w:type="paragraph" w:customStyle="1" w:styleId="175">
    <w:name w:val="标题4"/>
    <w:basedOn w:val="3"/>
    <w:next w:val="21"/>
    <w:link w:val="174"/>
    <w:qFormat/>
    <w:uiPriority w:val="0"/>
    <w:pPr>
      <w:keepNext/>
      <w:keepLines/>
      <w:autoSpaceDE/>
      <w:autoSpaceDN/>
      <w:spacing w:before="260" w:after="260" w:line="413" w:lineRule="auto"/>
      <w:ind w:left="0"/>
      <w:jc w:val="both"/>
    </w:pPr>
    <w:rPr>
      <w:rFonts w:ascii="Arial" w:hAnsi="Arial" w:eastAsiaTheme="minorEastAsia" w:cstheme="minorBidi"/>
      <w:b/>
      <w:bCs/>
      <w:sz w:val="24"/>
      <w:szCs w:val="32"/>
      <w:lang w:eastAsia="en-US"/>
    </w:rPr>
  </w:style>
  <w:style w:type="character" w:customStyle="1" w:styleId="176">
    <w:name w:val="first-child"/>
    <w:qFormat/>
    <w:uiPriority w:val="0"/>
    <w:rPr>
      <w:color w:val="1F3149"/>
      <w:sz w:val="24"/>
      <w:szCs w:val="24"/>
    </w:rPr>
  </w:style>
  <w:style w:type="character" w:customStyle="1" w:styleId="177">
    <w:name w:val="Date Char Char"/>
    <w:qFormat/>
    <w:uiPriority w:val="0"/>
    <w:rPr>
      <w:kern w:val="2"/>
      <w:sz w:val="24"/>
      <w:szCs w:val="24"/>
    </w:rPr>
  </w:style>
  <w:style w:type="character" w:customStyle="1" w:styleId="178">
    <w:name w:val="textcontents"/>
    <w:qFormat/>
    <w:uiPriority w:val="0"/>
    <w:rPr>
      <w:rFonts w:cs="Times New Roman"/>
    </w:rPr>
  </w:style>
  <w:style w:type="character" w:customStyle="1" w:styleId="179">
    <w:name w:val="NormalCharacter"/>
    <w:qFormat/>
    <w:uiPriority w:val="0"/>
  </w:style>
  <w:style w:type="character" w:customStyle="1" w:styleId="180">
    <w:name w:val="文档结构图 Char Char"/>
    <w:link w:val="181"/>
    <w:qFormat/>
    <w:uiPriority w:val="0"/>
    <w:rPr>
      <w:rFonts w:ascii="Times New Roman" w:hAnsi="Times New Roman" w:eastAsia="宋体" w:cs="Times New Roman"/>
      <w:sz w:val="24"/>
      <w:szCs w:val="24"/>
      <w:shd w:val="clear" w:color="auto" w:fill="000080"/>
    </w:rPr>
  </w:style>
  <w:style w:type="paragraph" w:customStyle="1" w:styleId="181">
    <w:name w:val="文档结构图1"/>
    <w:basedOn w:val="1"/>
    <w:link w:val="180"/>
    <w:qFormat/>
    <w:uiPriority w:val="0"/>
    <w:pPr>
      <w:shd w:val="clear" w:color="auto" w:fill="000080"/>
      <w:autoSpaceDE/>
      <w:autoSpaceDN/>
      <w:jc w:val="both"/>
    </w:pPr>
    <w:rPr>
      <w:rFonts w:ascii="Times New Roman" w:hAnsi="Times New Roman" w:cs="Times New Roman"/>
      <w:sz w:val="24"/>
      <w:szCs w:val="24"/>
      <w:shd w:val="clear" w:color="auto" w:fill="000080"/>
      <w:lang w:eastAsia="en-US"/>
    </w:rPr>
  </w:style>
  <w:style w:type="character" w:customStyle="1" w:styleId="182">
    <w:name w:val="样式 粉红"/>
    <w:qFormat/>
    <w:uiPriority w:val="0"/>
    <w:rPr>
      <w:color w:val="auto"/>
      <w:u w:val="none"/>
    </w:rPr>
  </w:style>
  <w:style w:type="character" w:customStyle="1" w:styleId="183">
    <w:name w:val="Footer Char_2c467e9b-46ce-4deb-bdde-2d499f1462fa"/>
    <w:qFormat/>
    <w:uiPriority w:val="0"/>
    <w:rPr>
      <w:kern w:val="2"/>
      <w:sz w:val="18"/>
      <w:szCs w:val="18"/>
    </w:rPr>
  </w:style>
  <w:style w:type="character" w:customStyle="1" w:styleId="184">
    <w:name w:val="xiadan"/>
    <w:qFormat/>
    <w:uiPriority w:val="0"/>
    <w:rPr>
      <w:shd w:val="clear" w:color="auto" w:fill="E4393C"/>
    </w:rPr>
  </w:style>
  <w:style w:type="character" w:customStyle="1" w:styleId="185">
    <w:name w:val="Plain Text Char Char"/>
    <w:qFormat/>
    <w:uiPriority w:val="0"/>
    <w:rPr>
      <w:rFonts w:ascii="宋体" w:hAnsi="Courier New" w:cs="宋体"/>
      <w:kern w:val="2"/>
      <w:sz w:val="21"/>
      <w:szCs w:val="21"/>
    </w:rPr>
  </w:style>
  <w:style w:type="paragraph" w:customStyle="1" w:styleId="186">
    <w:name w:val="明显引用1"/>
    <w:basedOn w:val="1"/>
    <w:next w:val="1"/>
    <w:qFormat/>
    <w:uiPriority w:val="0"/>
    <w:pPr>
      <w:pBdr>
        <w:bottom w:val="single" w:color="4F81BD" w:sz="4" w:space="4"/>
      </w:pBdr>
      <w:autoSpaceDE/>
      <w:autoSpaceDN/>
      <w:spacing w:before="200" w:after="280"/>
      <w:ind w:left="936" w:right="936"/>
      <w:jc w:val="both"/>
    </w:pPr>
    <w:rPr>
      <w:rFonts w:ascii="等线" w:hAnsi="等线" w:eastAsia="等线"/>
      <w:b/>
      <w:bCs/>
      <w:i/>
      <w:iCs/>
      <w:color w:val="4F81BD"/>
      <w:kern w:val="2"/>
      <w:sz w:val="21"/>
    </w:rPr>
  </w:style>
  <w:style w:type="character" w:customStyle="1" w:styleId="187">
    <w:name w:val="first-child1"/>
    <w:qFormat/>
    <w:uiPriority w:val="0"/>
    <w:rPr>
      <w:color w:val="1F3149"/>
      <w:sz w:val="24"/>
      <w:szCs w:val="24"/>
    </w:rPr>
  </w:style>
  <w:style w:type="character" w:customStyle="1" w:styleId="188">
    <w:name w:val="icon_ds"/>
    <w:qFormat/>
    <w:uiPriority w:val="0"/>
  </w:style>
  <w:style w:type="character" w:customStyle="1" w:styleId="189">
    <w:name w:val="批注框文本 Char1"/>
    <w:qFormat/>
    <w:uiPriority w:val="0"/>
    <w:rPr>
      <w:kern w:val="2"/>
      <w:sz w:val="18"/>
      <w:szCs w:val="18"/>
    </w:rPr>
  </w:style>
  <w:style w:type="character" w:customStyle="1" w:styleId="190">
    <w:name w:val="明显强调11"/>
    <w:qFormat/>
    <w:uiPriority w:val="0"/>
    <w:rPr>
      <w:b/>
      <w:bCs/>
      <w:i/>
      <w:iCs/>
      <w:color w:val="auto"/>
    </w:rPr>
  </w:style>
  <w:style w:type="character" w:customStyle="1" w:styleId="191">
    <w:name w:val="页码1"/>
    <w:basedOn w:val="47"/>
    <w:qFormat/>
    <w:uiPriority w:val="0"/>
  </w:style>
  <w:style w:type="character" w:customStyle="1" w:styleId="192">
    <w:name w:val="普通文字 Char1"/>
    <w:qFormat/>
    <w:uiPriority w:val="0"/>
    <w:rPr>
      <w:rFonts w:ascii="宋体" w:hAnsi="Courier New" w:eastAsia="宋体" w:cs="宋体"/>
      <w:kern w:val="2"/>
      <w:sz w:val="21"/>
      <w:szCs w:val="21"/>
      <w:lang w:val="en-US" w:eastAsia="zh-CN"/>
    </w:rPr>
  </w:style>
  <w:style w:type="character" w:customStyle="1" w:styleId="193">
    <w:name w:val="正文文本缩进 Char Char"/>
    <w:link w:val="194"/>
    <w:qFormat/>
    <w:uiPriority w:val="0"/>
    <w:rPr>
      <w:rFonts w:ascii="Times New Roman" w:hAnsi="Times New Roman" w:eastAsia="宋体" w:cs="Times New Roman"/>
      <w:sz w:val="24"/>
      <w:szCs w:val="24"/>
    </w:rPr>
  </w:style>
  <w:style w:type="paragraph" w:customStyle="1" w:styleId="194">
    <w:name w:val="正文文本缩进1"/>
    <w:basedOn w:val="1"/>
    <w:link w:val="193"/>
    <w:qFormat/>
    <w:uiPriority w:val="0"/>
    <w:pPr>
      <w:autoSpaceDE/>
      <w:autoSpaceDN/>
      <w:ind w:left="480" w:hanging="480" w:hangingChars="200"/>
      <w:jc w:val="both"/>
    </w:pPr>
    <w:rPr>
      <w:rFonts w:ascii="Times New Roman" w:hAnsi="Times New Roman" w:cs="Times New Roman"/>
      <w:sz w:val="24"/>
      <w:szCs w:val="24"/>
      <w:lang w:eastAsia="en-US"/>
    </w:rPr>
  </w:style>
  <w:style w:type="character" w:customStyle="1" w:styleId="195">
    <w:name w:val="Subtitle Char Char"/>
    <w:qFormat/>
    <w:uiPriority w:val="0"/>
    <w:rPr>
      <w:rFonts w:ascii="Cambria" w:hAnsi="Cambria" w:cs="Cambria"/>
      <w:b/>
      <w:bCs/>
      <w:kern w:val="28"/>
      <w:sz w:val="32"/>
      <w:szCs w:val="32"/>
    </w:rPr>
  </w:style>
  <w:style w:type="character" w:customStyle="1" w:styleId="196">
    <w:name w:val="无间隔 Char Char"/>
    <w:qFormat/>
    <w:uiPriority w:val="0"/>
    <w:rPr>
      <w:rFonts w:ascii="Calibri" w:hAnsi="Calibri" w:cs="Calibri"/>
      <w:sz w:val="22"/>
      <w:szCs w:val="22"/>
      <w:lang w:val="en-US" w:eastAsia="zh-CN"/>
    </w:rPr>
  </w:style>
  <w:style w:type="paragraph" w:customStyle="1" w:styleId="197">
    <w:name w:val="p0"/>
    <w:basedOn w:val="1"/>
    <w:qFormat/>
    <w:uiPriority w:val="0"/>
    <w:pPr>
      <w:widowControl/>
      <w:autoSpaceDE/>
      <w:autoSpaceDN/>
      <w:jc w:val="both"/>
    </w:pPr>
    <w:rPr>
      <w:rFonts w:ascii="Calibri" w:hAnsi="Calibri" w:cs="Calibri"/>
      <w:sz w:val="21"/>
      <w:szCs w:val="21"/>
    </w:rPr>
  </w:style>
  <w:style w:type="paragraph" w:customStyle="1" w:styleId="198">
    <w:name w:val="正文1"/>
    <w:qFormat/>
    <w:uiPriority w:val="0"/>
    <w:pPr>
      <w:widowControl w:val="0"/>
      <w:autoSpaceDE/>
      <w:autoSpaceDN/>
      <w:adjustRightInd w:val="0"/>
      <w:spacing w:line="312" w:lineRule="atLeast"/>
      <w:jc w:val="both"/>
      <w:textAlignment w:val="baseline"/>
    </w:pPr>
    <w:rPr>
      <w:rFonts w:ascii="宋体" w:hAnsi="Calibri" w:eastAsia="宋体" w:cs="宋体"/>
      <w:sz w:val="34"/>
      <w:szCs w:val="34"/>
      <w:lang w:val="en-US" w:eastAsia="zh-CN" w:bidi="ar-SA"/>
    </w:rPr>
  </w:style>
  <w:style w:type="paragraph" w:customStyle="1" w:styleId="199">
    <w:name w:val="日期1"/>
    <w:basedOn w:val="1"/>
    <w:next w:val="1"/>
    <w:qFormat/>
    <w:uiPriority w:val="0"/>
    <w:pPr>
      <w:autoSpaceDE/>
      <w:autoSpaceDN/>
      <w:ind w:left="100" w:leftChars="2500"/>
      <w:jc w:val="both"/>
    </w:pPr>
    <w:rPr>
      <w:rFonts w:ascii="Calibri" w:hAnsi="Calibri" w:cs="Times New Roman"/>
      <w:kern w:val="2"/>
      <w:sz w:val="24"/>
      <w:szCs w:val="24"/>
    </w:rPr>
  </w:style>
  <w:style w:type="paragraph" w:customStyle="1" w:styleId="200">
    <w:name w:val="正文缩进1"/>
    <w:basedOn w:val="1"/>
    <w:qFormat/>
    <w:uiPriority w:val="0"/>
    <w:pPr>
      <w:widowControl/>
      <w:autoSpaceDE/>
      <w:autoSpaceDN/>
      <w:ind w:firstLine="420"/>
    </w:pPr>
    <w:rPr>
      <w:rFonts w:ascii="Calibri" w:hAnsi="Calibri" w:cs="Times New Roman"/>
      <w:sz w:val="20"/>
      <w:szCs w:val="20"/>
    </w:rPr>
  </w:style>
  <w:style w:type="paragraph" w:customStyle="1" w:styleId="201">
    <w:name w:val="WPSOffice手动目录 2"/>
    <w:qFormat/>
    <w:uiPriority w:val="0"/>
    <w:pPr>
      <w:widowControl/>
      <w:autoSpaceDE/>
      <w:autoSpaceDN/>
      <w:ind w:left="200" w:leftChars="200"/>
    </w:pPr>
    <w:rPr>
      <w:rFonts w:ascii="Calibri" w:hAnsi="Calibri" w:eastAsia="宋体" w:cs="Times New Roman"/>
      <w:sz w:val="20"/>
      <w:szCs w:val="20"/>
      <w:lang w:val="en-US" w:eastAsia="zh-CN" w:bidi="ar-SA"/>
    </w:rPr>
  </w:style>
  <w:style w:type="paragraph" w:customStyle="1" w:styleId="202">
    <w:name w:val="Normal_0"/>
    <w:qFormat/>
    <w:uiPriority w:val="0"/>
    <w:pPr>
      <w:widowControl/>
      <w:autoSpaceDE/>
      <w:autoSpaceDN/>
      <w:spacing w:before="120" w:after="240"/>
      <w:jc w:val="both"/>
    </w:pPr>
    <w:rPr>
      <w:rFonts w:ascii="Calibri" w:hAnsi="Calibri" w:eastAsia="Calibri" w:cs="Times New Roman"/>
      <w:sz w:val="22"/>
      <w:szCs w:val="22"/>
      <w:lang w:val="en-US" w:eastAsia="en-US" w:bidi="ar-SA"/>
    </w:rPr>
  </w:style>
  <w:style w:type="paragraph" w:customStyle="1" w:styleId="203">
    <w:name w:val="普通(网站)1"/>
    <w:basedOn w:val="1"/>
    <w:qFormat/>
    <w:uiPriority w:val="0"/>
    <w:pPr>
      <w:widowControl/>
      <w:autoSpaceDE/>
      <w:autoSpaceDN/>
      <w:spacing w:before="100" w:beforeAutospacing="1" w:after="100" w:afterAutospacing="1"/>
    </w:pPr>
    <w:rPr>
      <w:color w:val="000000"/>
      <w:sz w:val="24"/>
      <w:szCs w:val="24"/>
    </w:rPr>
  </w:style>
  <w:style w:type="paragraph" w:customStyle="1" w:styleId="204">
    <w:name w:val="正文文本 31"/>
    <w:basedOn w:val="1"/>
    <w:qFormat/>
    <w:uiPriority w:val="0"/>
    <w:pPr>
      <w:tabs>
        <w:tab w:val="left" w:pos="180"/>
      </w:tabs>
      <w:autoSpaceDE/>
      <w:autoSpaceDN/>
      <w:spacing w:line="360" w:lineRule="auto"/>
      <w:jc w:val="both"/>
    </w:pPr>
    <w:rPr>
      <w:rFonts w:ascii="Calibri" w:hAnsi="Calibri" w:cs="Times New Roman"/>
      <w:kern w:val="2"/>
      <w:sz w:val="16"/>
      <w:szCs w:val="16"/>
    </w:rPr>
  </w:style>
  <w:style w:type="paragraph" w:customStyle="1" w:styleId="205">
    <w:name w:val="XW正文"/>
    <w:basedOn w:val="194"/>
    <w:qFormat/>
    <w:uiPriority w:val="0"/>
    <w:pPr>
      <w:adjustRightInd w:val="0"/>
      <w:snapToGrid w:val="0"/>
      <w:spacing w:line="300" w:lineRule="auto"/>
      <w:ind w:left="0" w:firstLine="520" w:firstLineChars="200"/>
      <w:jc w:val="left"/>
    </w:pPr>
  </w:style>
  <w:style w:type="paragraph" w:customStyle="1" w:styleId="206">
    <w:name w:val="样式"/>
    <w:basedOn w:val="1"/>
    <w:qFormat/>
    <w:uiPriority w:val="0"/>
    <w:pPr>
      <w:autoSpaceDE/>
      <w:autoSpaceDN/>
      <w:jc w:val="both"/>
    </w:pPr>
    <w:rPr>
      <w:rFonts w:ascii="Tahoma" w:hAnsi="Tahoma" w:cs="Tahoma"/>
      <w:kern w:val="2"/>
      <w:sz w:val="24"/>
      <w:szCs w:val="24"/>
    </w:rPr>
  </w:style>
  <w:style w:type="paragraph" w:customStyle="1" w:styleId="207">
    <w:name w:val="Char11"/>
    <w:basedOn w:val="1"/>
    <w:qFormat/>
    <w:uiPriority w:val="0"/>
    <w:pPr>
      <w:autoSpaceDE/>
      <w:autoSpaceDN/>
      <w:jc w:val="both"/>
    </w:pPr>
    <w:rPr>
      <w:rFonts w:ascii="Tahoma" w:hAnsi="Tahoma" w:cs="Times New Roman"/>
      <w:kern w:val="2"/>
      <w:sz w:val="24"/>
      <w:szCs w:val="20"/>
    </w:rPr>
  </w:style>
  <w:style w:type="paragraph" w:customStyle="1" w:styleId="208">
    <w:name w:val="无间隔1"/>
    <w:qFormat/>
    <w:uiPriority w:val="0"/>
    <w:pPr>
      <w:widowControl w:val="0"/>
      <w:autoSpaceDE/>
      <w:autoSpaceDN/>
      <w:jc w:val="both"/>
    </w:pPr>
    <w:rPr>
      <w:rFonts w:ascii="Calibri" w:hAnsi="Calibri" w:eastAsia="宋体" w:cs="Times New Roman"/>
      <w:kern w:val="2"/>
      <w:sz w:val="21"/>
      <w:szCs w:val="22"/>
      <w:lang w:val="en-US" w:eastAsia="zh-CN" w:bidi="ar-SA"/>
    </w:rPr>
  </w:style>
  <w:style w:type="paragraph" w:customStyle="1" w:styleId="209">
    <w:name w:val="Char Char Char Char"/>
    <w:basedOn w:val="1"/>
    <w:qFormat/>
    <w:uiPriority w:val="0"/>
    <w:pPr>
      <w:widowControl/>
      <w:autoSpaceDE/>
      <w:autoSpaceDN/>
      <w:spacing w:after="160" w:line="240" w:lineRule="exact"/>
    </w:pPr>
    <w:rPr>
      <w:rFonts w:ascii="Calibri" w:hAnsi="Calibri" w:cs="Times New Roman"/>
      <w:kern w:val="2"/>
      <w:sz w:val="21"/>
      <w:szCs w:val="21"/>
    </w:rPr>
  </w:style>
  <w:style w:type="paragraph" w:customStyle="1" w:styleId="210">
    <w:name w:val="p17"/>
    <w:basedOn w:val="1"/>
    <w:qFormat/>
    <w:uiPriority w:val="0"/>
    <w:pPr>
      <w:widowControl/>
      <w:autoSpaceDE/>
      <w:autoSpaceDN/>
      <w:jc w:val="both"/>
    </w:pPr>
    <w:rPr>
      <w:rFonts w:ascii="Calibri" w:hAnsi="Calibri" w:cs="Times New Roman"/>
      <w:sz w:val="21"/>
      <w:szCs w:val="21"/>
    </w:rPr>
  </w:style>
  <w:style w:type="paragraph" w:customStyle="1" w:styleId="211">
    <w:name w:val="表格1"/>
    <w:basedOn w:val="1"/>
    <w:qFormat/>
    <w:uiPriority w:val="0"/>
    <w:pPr>
      <w:autoSpaceDE/>
      <w:autoSpaceDN/>
      <w:spacing w:line="360" w:lineRule="auto"/>
      <w:jc w:val="both"/>
    </w:pPr>
    <w:rPr>
      <w:rFonts w:hAnsi="Calibri"/>
      <w:kern w:val="2"/>
      <w:sz w:val="24"/>
      <w:szCs w:val="24"/>
    </w:rPr>
  </w:style>
  <w:style w:type="paragraph" w:customStyle="1" w:styleId="212">
    <w:name w:val="flNote"/>
    <w:basedOn w:val="1"/>
    <w:qFormat/>
    <w:uiPriority w:val="0"/>
    <w:pPr>
      <w:autoSpaceDE/>
      <w:autoSpaceDN/>
      <w:adjustRightInd w:val="0"/>
      <w:spacing w:before="320" w:after="160" w:line="360" w:lineRule="atLeast"/>
      <w:jc w:val="center"/>
      <w:textAlignment w:val="baseline"/>
    </w:pPr>
    <w:rPr>
      <w:rFonts w:ascii="Arial" w:hAnsi="Calibri" w:eastAsia="黑体" w:cs="Times New Roman"/>
      <w:sz w:val="30"/>
      <w:szCs w:val="20"/>
    </w:rPr>
  </w:style>
  <w:style w:type="paragraph" w:customStyle="1" w:styleId="213">
    <w:name w:val="列出段落1"/>
    <w:basedOn w:val="1"/>
    <w:qFormat/>
    <w:uiPriority w:val="0"/>
    <w:pPr>
      <w:autoSpaceDE/>
      <w:autoSpaceDN/>
      <w:ind w:firstLine="420" w:firstLineChars="200"/>
      <w:jc w:val="both"/>
    </w:pPr>
    <w:rPr>
      <w:rFonts w:ascii="Calibri" w:hAnsi="Calibri" w:cs="Times New Roman"/>
      <w:kern w:val="2"/>
      <w:sz w:val="21"/>
      <w:szCs w:val="21"/>
    </w:rPr>
  </w:style>
  <w:style w:type="paragraph" w:customStyle="1" w:styleId="214">
    <w:name w:val="纯文本1"/>
    <w:basedOn w:val="1"/>
    <w:qFormat/>
    <w:uiPriority w:val="0"/>
    <w:pPr>
      <w:autoSpaceDE/>
      <w:autoSpaceDN/>
      <w:jc w:val="both"/>
    </w:pPr>
    <w:rPr>
      <w:rFonts w:hAnsi="Courier New"/>
      <w:kern w:val="2"/>
      <w:sz w:val="21"/>
      <w:szCs w:val="21"/>
    </w:rPr>
  </w:style>
  <w:style w:type="paragraph" w:customStyle="1" w:styleId="215">
    <w:name w:val="金安桥正文"/>
    <w:basedOn w:val="194"/>
    <w:qFormat/>
    <w:uiPriority w:val="0"/>
    <w:pPr>
      <w:adjustRightInd w:val="0"/>
      <w:spacing w:line="300" w:lineRule="auto"/>
      <w:ind w:left="0" w:firstLine="200" w:firstLineChars="200"/>
      <w:jc w:val="left"/>
    </w:pPr>
  </w:style>
  <w:style w:type="paragraph" w:customStyle="1" w:styleId="216">
    <w:name w:val="Char Char10 Char Char Char Char"/>
    <w:basedOn w:val="1"/>
    <w:qFormat/>
    <w:uiPriority w:val="99"/>
    <w:pPr>
      <w:autoSpaceDE/>
      <w:autoSpaceDN/>
      <w:jc w:val="both"/>
    </w:pPr>
    <w:rPr>
      <w:rFonts w:ascii="Calibri" w:hAnsi="Calibri" w:cs="Times New Roman"/>
      <w:kern w:val="2"/>
      <w:sz w:val="21"/>
      <w:szCs w:val="21"/>
    </w:rPr>
  </w:style>
  <w:style w:type="paragraph" w:customStyle="1" w:styleId="217">
    <w:name w:val="修订1"/>
    <w:qFormat/>
    <w:uiPriority w:val="0"/>
    <w:pPr>
      <w:widowControl/>
      <w:autoSpaceDE/>
      <w:autoSpaceDN/>
    </w:pPr>
    <w:rPr>
      <w:rFonts w:ascii="Calibri" w:hAnsi="Calibri" w:eastAsia="宋体" w:cs="Times New Roman"/>
      <w:kern w:val="2"/>
      <w:sz w:val="21"/>
      <w:szCs w:val="24"/>
      <w:lang w:val="en-US" w:eastAsia="zh-CN" w:bidi="ar-SA"/>
    </w:rPr>
  </w:style>
  <w:style w:type="paragraph" w:customStyle="1" w:styleId="218">
    <w:name w:val="大标题"/>
    <w:basedOn w:val="1"/>
    <w:next w:val="45"/>
    <w:qFormat/>
    <w:uiPriority w:val="0"/>
    <w:pPr>
      <w:autoSpaceDE/>
      <w:autoSpaceDN/>
      <w:adjustRightInd w:val="0"/>
      <w:snapToGrid w:val="0"/>
      <w:spacing w:before="20" w:after="20"/>
      <w:jc w:val="center"/>
    </w:pPr>
    <w:rPr>
      <w:rFonts w:ascii="Calibri" w:hAnsi="Calibri" w:cs="Times New Roman"/>
      <w:color w:val="000000"/>
      <w:spacing w:val="-8"/>
      <w:sz w:val="44"/>
      <w:szCs w:val="32"/>
    </w:rPr>
  </w:style>
  <w:style w:type="paragraph" w:customStyle="1" w:styleId="219">
    <w:name w:val="WPSOffice手动目录 1"/>
    <w:qFormat/>
    <w:uiPriority w:val="0"/>
    <w:pPr>
      <w:widowControl/>
      <w:autoSpaceDE/>
      <w:autoSpaceDN/>
    </w:pPr>
    <w:rPr>
      <w:rFonts w:ascii="Calibri" w:hAnsi="Calibri" w:eastAsia="宋体" w:cs="Times New Roman"/>
      <w:sz w:val="20"/>
      <w:szCs w:val="20"/>
      <w:lang w:val="en-US" w:eastAsia="zh-CN" w:bidi="ar-SA"/>
    </w:rPr>
  </w:style>
  <w:style w:type="paragraph" w:customStyle="1" w:styleId="220">
    <w:name w:val="TOC 标题2"/>
    <w:basedOn w:val="2"/>
    <w:next w:val="1"/>
    <w:qFormat/>
    <w:uiPriority w:val="0"/>
    <w:pPr>
      <w:keepNext/>
      <w:keepLines/>
      <w:autoSpaceDE/>
      <w:autoSpaceDN/>
      <w:spacing w:before="340" w:after="330" w:line="576" w:lineRule="auto"/>
      <w:ind w:right="0"/>
      <w:jc w:val="both"/>
      <w:outlineLvl w:val="9"/>
    </w:pPr>
    <w:rPr>
      <w:rFonts w:ascii="Calibri" w:hAnsi="Calibri" w:eastAsia="宋体" w:cs="Times New Roman"/>
      <w:kern w:val="44"/>
      <w:sz w:val="44"/>
      <w:szCs w:val="44"/>
    </w:rPr>
  </w:style>
  <w:style w:type="paragraph" w:customStyle="1" w:styleId="221">
    <w:name w:val="无间隔11"/>
    <w:basedOn w:val="1"/>
    <w:qFormat/>
    <w:uiPriority w:val="1"/>
    <w:pPr>
      <w:autoSpaceDE/>
      <w:autoSpaceDN/>
      <w:spacing w:line="400" w:lineRule="exact"/>
      <w:jc w:val="both"/>
    </w:pPr>
    <w:rPr>
      <w:rFonts w:ascii="Calibri" w:hAnsi="Calibri" w:cs="Times New Roman"/>
      <w:kern w:val="2"/>
      <w:sz w:val="24"/>
      <w:szCs w:val="21"/>
    </w:rPr>
  </w:style>
  <w:style w:type="paragraph" w:customStyle="1" w:styleId="222">
    <w:name w:val="Char Char Char Char1"/>
    <w:basedOn w:val="1"/>
    <w:qFormat/>
    <w:uiPriority w:val="0"/>
    <w:pPr>
      <w:widowControl/>
      <w:autoSpaceDE/>
      <w:autoSpaceDN/>
      <w:spacing w:after="160" w:line="240" w:lineRule="exact"/>
    </w:pPr>
    <w:rPr>
      <w:rFonts w:ascii="Calibri" w:hAnsi="Calibri" w:cs="Times New Roman"/>
      <w:kern w:val="2"/>
      <w:sz w:val="21"/>
      <w:szCs w:val="20"/>
    </w:rPr>
  </w:style>
  <w:style w:type="paragraph" w:customStyle="1" w:styleId="223">
    <w:name w:val="3"/>
    <w:basedOn w:val="1"/>
    <w:next w:val="204"/>
    <w:qFormat/>
    <w:uiPriority w:val="0"/>
    <w:pPr>
      <w:autoSpaceDE/>
      <w:autoSpaceDN/>
      <w:jc w:val="both"/>
    </w:pPr>
    <w:rPr>
      <w:rFonts w:hAnsi="Calibri"/>
      <w:kern w:val="2"/>
      <w:sz w:val="24"/>
      <w:szCs w:val="24"/>
    </w:rPr>
  </w:style>
  <w:style w:type="paragraph" w:customStyle="1" w:styleId="224">
    <w:name w:val="索引 51"/>
    <w:basedOn w:val="1"/>
    <w:next w:val="1"/>
    <w:qFormat/>
    <w:uiPriority w:val="0"/>
    <w:pPr>
      <w:autoSpaceDE/>
      <w:autoSpaceDN/>
      <w:ind w:left="800" w:leftChars="800"/>
      <w:jc w:val="both"/>
    </w:pPr>
    <w:rPr>
      <w:rFonts w:ascii="Calibri" w:hAnsi="Calibri" w:cs="Times New Roman"/>
      <w:kern w:val="2"/>
      <w:sz w:val="21"/>
      <w:szCs w:val="21"/>
    </w:rPr>
  </w:style>
  <w:style w:type="paragraph" w:customStyle="1" w:styleId="225">
    <w:name w:val="正文 A"/>
    <w:next w:val="94"/>
    <w:qFormat/>
    <w:uiPriority w:val="0"/>
    <w:pPr>
      <w:framePr w:wrap="around" w:vAnchor="margin" w:hAnchor="text" w:y="1"/>
      <w:widowControl/>
      <w:autoSpaceDE/>
      <w:autoSpaceDN/>
      <w:spacing w:line="360" w:lineRule="auto"/>
      <w:ind w:firstLine="200"/>
      <w:jc w:val="both"/>
    </w:pPr>
    <w:rPr>
      <w:rFonts w:ascii="Times New Roman" w:hAnsi="Times New Roman" w:eastAsia="Arial Unicode MS" w:cs="Arial Unicode MS"/>
      <w:color w:val="000000"/>
      <w:kern w:val="2"/>
      <w:sz w:val="21"/>
      <w:szCs w:val="21"/>
      <w:lang w:val="en-US" w:eastAsia="zh-CN" w:bidi="ar-SA"/>
    </w:rPr>
  </w:style>
  <w:style w:type="paragraph" w:customStyle="1" w:styleId="226">
    <w:name w:val="文本块1"/>
    <w:basedOn w:val="1"/>
    <w:qFormat/>
    <w:uiPriority w:val="0"/>
    <w:pPr>
      <w:autoSpaceDE/>
      <w:autoSpaceDN/>
      <w:spacing w:after="120"/>
      <w:ind w:left="1440" w:leftChars="700" w:right="1440" w:rightChars="700"/>
      <w:jc w:val="both"/>
    </w:pPr>
    <w:rPr>
      <w:rFonts w:ascii="Calibri" w:hAnsi="Calibri" w:cs="Times New Roman"/>
      <w:kern w:val="2"/>
      <w:sz w:val="21"/>
      <w:szCs w:val="21"/>
    </w:rPr>
  </w:style>
  <w:style w:type="paragraph" w:customStyle="1" w:styleId="227">
    <w:name w:val="列表1"/>
    <w:basedOn w:val="1"/>
    <w:qFormat/>
    <w:uiPriority w:val="0"/>
    <w:pPr>
      <w:autoSpaceDE/>
      <w:autoSpaceDN/>
      <w:adjustRightInd w:val="0"/>
      <w:spacing w:line="360" w:lineRule="atLeast"/>
      <w:ind w:left="420" w:hanging="420"/>
    </w:pPr>
    <w:rPr>
      <w:rFonts w:hAnsi="Calibri"/>
      <w:sz w:val="24"/>
      <w:szCs w:val="24"/>
    </w:rPr>
  </w:style>
  <w:style w:type="paragraph" w:customStyle="1" w:styleId="228">
    <w:name w:val="列出段落2"/>
    <w:basedOn w:val="1"/>
    <w:qFormat/>
    <w:uiPriority w:val="0"/>
    <w:pPr>
      <w:autoSpaceDE/>
      <w:autoSpaceDN/>
      <w:ind w:firstLine="420" w:firstLineChars="200"/>
      <w:jc w:val="both"/>
    </w:pPr>
    <w:rPr>
      <w:rFonts w:ascii="Calibri" w:hAnsi="Calibri" w:cs="Times New Roman"/>
      <w:kern w:val="2"/>
      <w:sz w:val="21"/>
    </w:rPr>
  </w:style>
  <w:style w:type="paragraph" w:customStyle="1" w:styleId="229">
    <w:name w:val="空半行"/>
    <w:basedOn w:val="1"/>
    <w:qFormat/>
    <w:uiPriority w:val="0"/>
    <w:pPr>
      <w:autoSpaceDE/>
      <w:autoSpaceDN/>
      <w:adjustRightInd w:val="0"/>
      <w:spacing w:line="120" w:lineRule="exact"/>
      <w:jc w:val="both"/>
      <w:textAlignment w:val="baseline"/>
    </w:pPr>
    <w:rPr>
      <w:rFonts w:ascii="Calibri" w:hAnsi="Calibri" w:eastAsia="仿宋_GB2312" w:cs="Times New Roman"/>
      <w:color w:val="FFFFFF"/>
      <w:sz w:val="30"/>
      <w:szCs w:val="20"/>
    </w:rPr>
  </w:style>
  <w:style w:type="paragraph" w:customStyle="1" w:styleId="230">
    <w:name w:val="索引 11"/>
    <w:basedOn w:val="1"/>
    <w:next w:val="1"/>
    <w:qFormat/>
    <w:uiPriority w:val="0"/>
    <w:pPr>
      <w:autoSpaceDE/>
      <w:autoSpaceDN/>
      <w:spacing w:line="220" w:lineRule="exact"/>
      <w:jc w:val="center"/>
    </w:pPr>
    <w:rPr>
      <w:rFonts w:ascii="仿宋_GB2312" w:hAnsi="Calibri" w:eastAsia="仿宋_GB2312" w:cs="仿宋_GB2312"/>
      <w:kern w:val="2"/>
      <w:sz w:val="21"/>
      <w:szCs w:val="21"/>
    </w:rPr>
  </w:style>
  <w:style w:type="paragraph" w:customStyle="1" w:styleId="231">
    <w:name w:val="2"/>
    <w:basedOn w:val="1"/>
    <w:next w:val="194"/>
    <w:qFormat/>
    <w:uiPriority w:val="0"/>
    <w:pPr>
      <w:autoSpaceDE/>
      <w:autoSpaceDN/>
      <w:ind w:left="432"/>
      <w:jc w:val="both"/>
    </w:pPr>
    <w:rPr>
      <w:rFonts w:ascii="Calibri" w:hAnsi="Calibri" w:cs="Times New Roman"/>
      <w:kern w:val="2"/>
      <w:sz w:val="21"/>
      <w:szCs w:val="21"/>
    </w:rPr>
  </w:style>
  <w:style w:type="paragraph" w:customStyle="1" w:styleId="232">
    <w:name w:val="Table Text"/>
    <w:basedOn w:val="1"/>
    <w:qFormat/>
    <w:uiPriority w:val="0"/>
    <w:pPr>
      <w:widowControl/>
      <w:kinsoku w:val="0"/>
      <w:adjustRightInd w:val="0"/>
      <w:snapToGrid w:val="0"/>
      <w:textAlignment w:val="baseline"/>
    </w:pPr>
    <w:rPr>
      <w:snapToGrid w:val="0"/>
      <w:color w:val="000000"/>
      <w:sz w:val="24"/>
      <w:szCs w:val="24"/>
      <w:lang w:eastAsia="en-US"/>
    </w:rPr>
  </w:style>
  <w:style w:type="paragraph" w:customStyle="1" w:styleId="233">
    <w:name w:val="_Style 4"/>
    <w:basedOn w:val="1"/>
    <w:qFormat/>
    <w:uiPriority w:val="99"/>
    <w:pPr>
      <w:autoSpaceDE/>
      <w:autoSpaceDN/>
      <w:ind w:firstLine="420" w:firstLineChars="200"/>
      <w:jc w:val="both"/>
    </w:pPr>
    <w:rPr>
      <w:rFonts w:ascii="等线" w:hAnsi="等线" w:eastAsia="等线"/>
      <w:kern w:val="2"/>
      <w:sz w:val="21"/>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70</Pages>
  <Words>15267</Words>
  <Characters>17276</Characters>
  <Lines>342</Lines>
  <Paragraphs>96</Paragraphs>
  <TotalTime>158</TotalTime>
  <ScaleCrop>false</ScaleCrop>
  <LinksUpToDate>false</LinksUpToDate>
  <CharactersWithSpaces>17484</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2025-07-01T06:23:00Z</dcterms:created>
  <dc:creator>Administrator</dc:creator>
  <cp:lastModifiedBy>王爱巧</cp:lastModifiedBy>
  <dcterms:modified xsi:type="dcterms:W3CDTF">2025-08-07T08:53:55Z</dcterms:modified>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2025-06-17T00:00:00Z</vt:filetime>
  </property>
  <property fmtid="{D5CDD505-2E9C-101B-9397-08002B2CF9AE}" pid="3" name="Creator">
    <vt:lpwstr>Microsoft® Word 2010</vt:lpwstr>
  </property>
  <property fmtid="{D5CDD505-2E9C-101B-9397-08002B2CF9AE}" pid="4" name="LastSaved">
    <vt:filetime>2025-07-01T00:00:00Z</vt:filetime>
  </property>
  <property fmtid="{D5CDD505-2E9C-101B-9397-08002B2CF9AE}" pid="5" name="Producer">
    <vt:lpwstr>Microsoft® Word 2010; modified using iText® 5.5.14-SNAPSHOT ©2000-2018 iText Group NV (AGPL-version)</vt:lpwstr>
  </property>
  <property fmtid="{D5CDD505-2E9C-101B-9397-08002B2CF9AE}" pid="6" name="KSOTemplateDocerSaveRecord">
    <vt:lpwstr>eyJoZGlkIjoiZWI0NzgyM2JkYzAwMGRiNTg4NmU0MjQ4NGU4MDRkMDUiLCJ1c2VySWQiOiI0MTk3ODY5MDYifQ==</vt:lpwstr>
  </property>
  <property fmtid="{D5CDD505-2E9C-101B-9397-08002B2CF9AE}" pid="7" name="KSOProductBuildVer">
    <vt:lpwstr>2052-12.1.0.21915</vt:lpwstr>
  </property>
  <property fmtid="{D5CDD505-2E9C-101B-9397-08002B2CF9AE}" pid="8" name="ICV">
    <vt:lpwstr>D2BDF7BACA8B46F5B74E5D920F040E95_13</vt:lpwstr>
  </property>
</Properties>
</file>