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1A047">
      <w:pPr>
        <w:widowControl/>
        <w:tabs>
          <w:tab w:val="left" w:pos="3261"/>
        </w:tabs>
        <w:jc w:val="center"/>
        <w:outlineLvl w:val="0"/>
        <w:rPr>
          <w:rFonts w:ascii="宋体" w:hAnsi="宋体" w:eastAsia="宋体" w:cs="Times New Roman"/>
          <w:b/>
          <w:bCs/>
          <w:snapToGrid w:val="0"/>
          <w:color w:val="auto"/>
          <w:kern w:val="0"/>
          <w:sz w:val="44"/>
          <w:szCs w:val="20"/>
          <w:highlight w:val="none"/>
          <w:lang w:val="en-US" w:eastAsia="zh-CN" w:bidi="en-US"/>
        </w:rPr>
      </w:pPr>
      <w:bookmarkStart w:id="0" w:name="_Toc30020"/>
      <w:r>
        <w:rPr>
          <w:rFonts w:hint="eastAsia" w:ascii="宋体" w:hAnsi="宋体" w:eastAsia="宋体" w:cs="Times New Roman"/>
          <w:b/>
          <w:bCs/>
          <w:snapToGrid w:val="0"/>
          <w:color w:val="auto"/>
          <w:kern w:val="0"/>
          <w:sz w:val="44"/>
          <w:szCs w:val="20"/>
          <w:highlight w:val="none"/>
          <w:lang w:val="en-US" w:eastAsia="zh-CN" w:bidi="en-US"/>
        </w:rPr>
        <w:t>第三章  采购需求</w:t>
      </w:r>
      <w:bookmarkEnd w:id="0"/>
    </w:p>
    <w:p w14:paraId="3BDF9EE4">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宋体" w:hAnsi="宋体" w:eastAsia="宋体" w:cs="Times New Roman"/>
          <w:b/>
          <w:bCs/>
          <w:snapToGrid w:val="0"/>
          <w:color w:val="auto"/>
          <w:kern w:val="0"/>
          <w:sz w:val="30"/>
          <w:szCs w:val="20"/>
          <w:highlight w:val="none"/>
          <w:lang w:val="zh-CN" w:eastAsia="zh-CN" w:bidi="ar-SA"/>
        </w:rPr>
      </w:pPr>
      <w:bookmarkStart w:id="1" w:name="_Toc76478809"/>
      <w:bookmarkStart w:id="2" w:name="_Toc76478964"/>
      <w:bookmarkStart w:id="3" w:name="_Toc81385999"/>
      <w:bookmarkStart w:id="4" w:name="_Toc76478886"/>
      <w:bookmarkStart w:id="5" w:name="_Toc81386231"/>
      <w:r>
        <w:rPr>
          <w:rFonts w:hint="eastAsia" w:ascii="宋体" w:hAnsi="宋体" w:eastAsia="宋体" w:cs="Times New Roman"/>
          <w:b/>
          <w:bCs/>
          <w:snapToGrid w:val="0"/>
          <w:color w:val="auto"/>
          <w:kern w:val="0"/>
          <w:sz w:val="30"/>
          <w:szCs w:val="20"/>
          <w:highlight w:val="none"/>
          <w:lang w:val="zh-CN" w:eastAsia="zh-CN" w:bidi="ar-SA"/>
        </w:rPr>
        <w:t>一、项目概况</w:t>
      </w:r>
      <w:bookmarkEnd w:id="1"/>
      <w:bookmarkEnd w:id="2"/>
      <w:bookmarkEnd w:id="3"/>
      <w:bookmarkEnd w:id="4"/>
      <w:bookmarkEnd w:id="5"/>
    </w:p>
    <w:p w14:paraId="2A7048C9">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ascii="宋体" w:hAnsi="宋体" w:eastAsia="宋体" w:cs="Times New Roman"/>
          <w:snapToGrid w:val="0"/>
          <w:color w:val="auto"/>
          <w:kern w:val="0"/>
          <w:sz w:val="24"/>
          <w:szCs w:val="24"/>
          <w:highlight w:val="none"/>
          <w:lang w:val="en-US" w:eastAsia="zh-CN" w:bidi="ar-SA"/>
        </w:rPr>
      </w:pPr>
      <w:bookmarkStart w:id="6" w:name="_Toc238530903"/>
      <w:r>
        <w:rPr>
          <w:rFonts w:hint="eastAsia" w:ascii="宋体" w:hAnsi="宋体" w:eastAsia="宋体" w:cs="Times New Roman"/>
          <w:snapToGrid w:val="0"/>
          <w:color w:val="auto"/>
          <w:kern w:val="0"/>
          <w:sz w:val="24"/>
          <w:szCs w:val="24"/>
          <w:highlight w:val="none"/>
          <w:lang w:val="en-US" w:eastAsia="zh-CN" w:bidi="ar-SA"/>
        </w:rPr>
        <w:t>河南经贸职业学院实训室智能化物联管控平台项目建设主要包括以下四大部分：</w:t>
      </w:r>
    </w:p>
    <w:p w14:paraId="12186297">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4"/>
          <w:szCs w:val="24"/>
          <w:highlight w:val="none"/>
          <w:lang w:val="en-US" w:eastAsia="zh-CN" w:bidi="ar-SA"/>
        </w:rPr>
      </w:pPr>
      <w:r>
        <w:rPr>
          <w:rFonts w:hint="eastAsia" w:ascii="宋体" w:hAnsi="宋体" w:eastAsia="宋体" w:cs="Times New Roman"/>
          <w:snapToGrid w:val="0"/>
          <w:color w:val="auto"/>
          <w:kern w:val="0"/>
          <w:sz w:val="24"/>
          <w:szCs w:val="24"/>
          <w:highlight w:val="none"/>
          <w:lang w:val="en-US" w:eastAsia="zh-CN" w:bidi="ar-SA"/>
        </w:rPr>
        <w:t>1.新增智能摄像机：实训室安装360度无死角监控，共计180个，实现和覆盖所有专业实训室，通过现有的摄像头以及增加摄像头起到全面监控实训室和实验设备的作用。全天候实时监控和录像，保证实训室与仪器设备的安全、可控和使用。</w:t>
      </w:r>
    </w:p>
    <w:p w14:paraId="2DC5BE71">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4"/>
          <w:szCs w:val="24"/>
          <w:highlight w:val="none"/>
          <w:lang w:val="en-US" w:eastAsia="zh-CN" w:bidi="ar-SA"/>
        </w:rPr>
      </w:pPr>
      <w:r>
        <w:rPr>
          <w:rFonts w:hint="eastAsia" w:ascii="宋体" w:hAnsi="宋体" w:eastAsia="宋体" w:cs="Times New Roman"/>
          <w:snapToGrid w:val="0"/>
          <w:color w:val="auto"/>
          <w:kern w:val="0"/>
          <w:sz w:val="24"/>
          <w:szCs w:val="24"/>
          <w:highlight w:val="none"/>
          <w:lang w:val="en-US" w:eastAsia="zh-CN" w:bidi="ar-SA"/>
        </w:rPr>
        <w:t>2.物联网控制终端：对150个专业实训室、93个理实一体化实训室、82个多媒体教室共325处教学场所总体电源整体总体管控，实现远程开关电功能。配合门禁监控系统使用，能够让实训室管理员在空闲时间，实时查看实训室用电现状，有效地进行电源管理，实现绿色节能环保型校园。</w:t>
      </w:r>
    </w:p>
    <w:p w14:paraId="38E1E7F1">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4"/>
          <w:szCs w:val="24"/>
          <w:highlight w:val="none"/>
          <w:lang w:val="en-US" w:eastAsia="zh-CN" w:bidi="ar-SA"/>
        </w:rPr>
      </w:pPr>
      <w:r>
        <w:rPr>
          <w:rFonts w:hint="eastAsia" w:ascii="宋体" w:hAnsi="宋体" w:eastAsia="宋体" w:cs="Times New Roman"/>
          <w:snapToGrid w:val="0"/>
          <w:color w:val="auto"/>
          <w:kern w:val="0"/>
          <w:sz w:val="24"/>
          <w:szCs w:val="24"/>
          <w:highlight w:val="none"/>
          <w:lang w:val="en-US" w:eastAsia="zh-CN" w:bidi="ar-SA"/>
        </w:rPr>
        <w:t>3.建成实训室安全准入与考核管理系统：开展实训室安全教育、安全通知公告、安全工作动态、安全知识、规章制度、安全政策、学习与考核的一体化平台，支持学生、教师、实验人员通过PC端和手机端学习安全知识和题库，进行自测和考核；学生、教师进入实训室开展实验之前必需的一个准入机制；为师生掌握实训室安全知识，提升安全意识，培养实验安全素养，以及学校开展实训室安全教育、安全知识普及提供保障。</w:t>
      </w:r>
    </w:p>
    <w:p w14:paraId="5F9E3981">
      <w:pPr>
        <w:keepNext w:val="0"/>
        <w:keepLines w:val="0"/>
        <w:pageBreakBefore w:val="0"/>
        <w:widowControl/>
        <w:kinsoku/>
        <w:wordWrap/>
        <w:overflowPunct/>
        <w:topLinePunct w:val="0"/>
        <w:autoSpaceDE/>
        <w:autoSpaceDN/>
        <w:bidi w:val="0"/>
        <w:adjustRightInd/>
        <w:snapToGrid/>
        <w:spacing w:line="500" w:lineRule="exact"/>
        <w:ind w:firstLine="482"/>
        <w:jc w:val="both"/>
        <w:textAlignment w:val="auto"/>
        <w:rPr>
          <w:rFonts w:hint="eastAsia" w:ascii="宋体" w:hAnsi="宋体" w:eastAsia="宋体" w:cs="Times New Roman"/>
          <w:snapToGrid w:val="0"/>
          <w:color w:val="auto"/>
          <w:kern w:val="0"/>
          <w:sz w:val="21"/>
          <w:szCs w:val="20"/>
          <w:highlight w:val="none"/>
          <w:lang w:val="en-US" w:eastAsia="zh-CN" w:bidi="ar-SA"/>
        </w:rPr>
      </w:pPr>
      <w:r>
        <w:rPr>
          <w:rFonts w:hint="eastAsia" w:ascii="宋体" w:hAnsi="宋体" w:eastAsia="宋体" w:cs="Times New Roman"/>
          <w:snapToGrid w:val="0"/>
          <w:color w:val="auto"/>
          <w:kern w:val="0"/>
          <w:sz w:val="24"/>
          <w:szCs w:val="24"/>
          <w:highlight w:val="none"/>
          <w:lang w:val="en-US" w:eastAsia="zh-CN" w:bidi="ar-SA"/>
        </w:rPr>
        <w:t>4.数据对接集成服务：与学校的教管一体化平台、学校数据中心进行数据对接，学生和教职工的基础信息在实训室管理系统中是一个重要的基础数据，涉及实验开放，实验教学，在线教学、安全考试等各个功能模块中的各个环节，同时每年新生的入学和老生毕业会产生大量的数据维护工作，提高数据的准确性和高效的实训教学管理。</w:t>
      </w:r>
      <w:bookmarkStart w:id="7" w:name="_Toc76478887"/>
      <w:bookmarkStart w:id="8" w:name="_Toc76478965"/>
      <w:bookmarkStart w:id="9" w:name="_Toc81386232"/>
      <w:bookmarkStart w:id="10" w:name="_Toc81386000"/>
      <w:bookmarkStart w:id="11" w:name="_Toc76478810"/>
    </w:p>
    <w:p w14:paraId="41FF8F3D">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hint="eastAsia" w:ascii="宋体" w:hAnsi="宋体" w:eastAsia="宋体" w:cs="Times New Roman"/>
          <w:b/>
          <w:bCs/>
          <w:snapToGrid w:val="0"/>
          <w:color w:val="auto"/>
          <w:kern w:val="0"/>
          <w:sz w:val="30"/>
          <w:szCs w:val="20"/>
          <w:highlight w:val="none"/>
          <w:lang w:val="zh-CN" w:eastAsia="zh-CN" w:bidi="ar-SA"/>
        </w:rPr>
      </w:pPr>
    </w:p>
    <w:p w14:paraId="7A6B061A">
      <w:pPr>
        <w:rPr>
          <w:rFonts w:hint="eastAsia" w:ascii="宋体" w:hAnsi="宋体" w:eastAsia="宋体" w:cs="Times New Roman"/>
          <w:snapToGrid w:val="0"/>
          <w:color w:val="auto"/>
          <w:highlight w:val="none"/>
        </w:rPr>
      </w:pPr>
    </w:p>
    <w:p w14:paraId="0EA7B8A0">
      <w:pPr>
        <w:rPr>
          <w:rFonts w:hint="eastAsia" w:ascii="宋体" w:hAnsi="宋体" w:eastAsia="宋体" w:cs="Times New Roman"/>
          <w:snapToGrid w:val="0"/>
          <w:color w:val="auto"/>
          <w:highlight w:val="none"/>
          <w:lang w:eastAsia="zh-CN"/>
        </w:rPr>
      </w:pPr>
    </w:p>
    <w:p w14:paraId="11FEC681">
      <w:pPr>
        <w:rPr>
          <w:rFonts w:hint="eastAsia" w:ascii="宋体" w:hAnsi="宋体" w:eastAsia="宋体" w:cs="Times New Roman"/>
          <w:snapToGrid w:val="0"/>
          <w:color w:val="auto"/>
          <w:highlight w:val="none"/>
        </w:rPr>
      </w:pPr>
    </w:p>
    <w:p w14:paraId="01548B86">
      <w:pPr>
        <w:rPr>
          <w:rFonts w:hint="eastAsia" w:ascii="宋体" w:hAnsi="宋体" w:eastAsia="宋体" w:cs="Times New Roman"/>
          <w:snapToGrid w:val="0"/>
          <w:color w:val="auto"/>
          <w:highlight w:val="none"/>
        </w:rPr>
      </w:pPr>
    </w:p>
    <w:p w14:paraId="68F793F4">
      <w:pPr>
        <w:rPr>
          <w:rFonts w:hint="eastAsia" w:ascii="宋体" w:hAnsi="宋体" w:eastAsia="宋体" w:cs="Times New Roman"/>
          <w:snapToGrid w:val="0"/>
          <w:color w:val="auto"/>
          <w:highlight w:val="none"/>
        </w:rPr>
      </w:pPr>
    </w:p>
    <w:p w14:paraId="25522B7D">
      <w:pPr>
        <w:keepNext/>
        <w:keepLines/>
        <w:pageBreakBefore w:val="0"/>
        <w:widowControl w:val="0"/>
        <w:kinsoku/>
        <w:wordWrap/>
        <w:overflowPunct/>
        <w:topLinePunct w:val="0"/>
        <w:autoSpaceDE/>
        <w:autoSpaceDN/>
        <w:bidi w:val="0"/>
        <w:adjustRightInd/>
        <w:snapToGrid/>
        <w:spacing w:line="500" w:lineRule="exact"/>
        <w:jc w:val="both"/>
        <w:textAlignment w:val="auto"/>
        <w:outlineLvl w:val="2"/>
        <w:rPr>
          <w:rFonts w:ascii="Times New Roman" w:hAnsi="Times New Roman" w:eastAsia="仿宋" w:cs="Times New Roman"/>
          <w:b/>
          <w:bCs/>
          <w:color w:val="auto"/>
          <w:kern w:val="0"/>
          <w:sz w:val="30"/>
          <w:szCs w:val="20"/>
          <w:highlight w:val="none"/>
          <w:lang w:val="en-US" w:eastAsia="zh-CN" w:bidi="ar-SA"/>
        </w:rPr>
      </w:pPr>
      <w:r>
        <w:rPr>
          <w:rFonts w:hint="eastAsia" w:ascii="宋体" w:hAnsi="宋体" w:eastAsia="宋体" w:cs="Times New Roman"/>
          <w:b/>
          <w:bCs/>
          <w:snapToGrid w:val="0"/>
          <w:color w:val="auto"/>
          <w:kern w:val="0"/>
          <w:sz w:val="30"/>
          <w:szCs w:val="20"/>
          <w:highlight w:val="none"/>
          <w:lang w:val="zh-CN" w:eastAsia="zh-CN" w:bidi="ar-SA"/>
        </w:rPr>
        <w:t>二、招标货物清</w:t>
      </w:r>
      <w:bookmarkStart w:id="19" w:name="_GoBack"/>
      <w:bookmarkEnd w:id="19"/>
      <w:r>
        <w:rPr>
          <w:rFonts w:hint="eastAsia" w:ascii="宋体" w:hAnsi="宋体" w:eastAsia="宋体" w:cs="Times New Roman"/>
          <w:b/>
          <w:bCs/>
          <w:snapToGrid w:val="0"/>
          <w:color w:val="auto"/>
          <w:kern w:val="0"/>
          <w:sz w:val="30"/>
          <w:szCs w:val="20"/>
          <w:highlight w:val="none"/>
          <w:lang w:val="zh-CN" w:eastAsia="zh-CN" w:bidi="ar-SA"/>
        </w:rPr>
        <w:t>单及</w:t>
      </w:r>
      <w:bookmarkEnd w:id="7"/>
      <w:bookmarkEnd w:id="8"/>
      <w:bookmarkEnd w:id="9"/>
      <w:bookmarkEnd w:id="10"/>
      <w:bookmarkEnd w:id="11"/>
      <w:r>
        <w:rPr>
          <w:rFonts w:hint="eastAsia" w:ascii="宋体" w:hAnsi="宋体" w:eastAsia="宋体" w:cs="Times New Roman"/>
          <w:b/>
          <w:bCs/>
          <w:snapToGrid w:val="0"/>
          <w:color w:val="auto"/>
          <w:kern w:val="0"/>
          <w:sz w:val="30"/>
          <w:szCs w:val="20"/>
          <w:highlight w:val="none"/>
          <w:lang w:val="zh-CN" w:eastAsia="zh-CN" w:bidi="ar-SA"/>
        </w:rPr>
        <w:t>技术参数/服务要求</w:t>
      </w:r>
    </w:p>
    <w:bookmarkEnd w:id="6"/>
    <w:tbl>
      <w:tblPr>
        <w:tblStyle w:val="7"/>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945"/>
        <w:gridCol w:w="5571"/>
        <w:gridCol w:w="750"/>
        <w:gridCol w:w="795"/>
        <w:gridCol w:w="1349"/>
      </w:tblGrid>
      <w:tr w14:paraId="19C7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78EC01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序号</w:t>
            </w:r>
          </w:p>
        </w:tc>
        <w:tc>
          <w:tcPr>
            <w:tcW w:w="945" w:type="dxa"/>
            <w:noWrap w:val="0"/>
            <w:vAlign w:val="center"/>
          </w:tcPr>
          <w:p w14:paraId="3443C4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名称</w:t>
            </w:r>
          </w:p>
        </w:tc>
        <w:tc>
          <w:tcPr>
            <w:tcW w:w="5571" w:type="dxa"/>
            <w:noWrap w:val="0"/>
            <w:vAlign w:val="center"/>
          </w:tcPr>
          <w:p w14:paraId="0482E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技术参数</w:t>
            </w:r>
          </w:p>
        </w:tc>
        <w:tc>
          <w:tcPr>
            <w:tcW w:w="750" w:type="dxa"/>
            <w:noWrap w:val="0"/>
            <w:vAlign w:val="center"/>
          </w:tcPr>
          <w:p w14:paraId="104C4F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u w:val="none"/>
                <w:vertAlign w:val="baseline"/>
                <w:lang w:val="en-US" w:eastAsia="zh-Hans"/>
              </w:rPr>
            </w:pPr>
            <w:r>
              <w:rPr>
                <w:rFonts w:hint="eastAsia" w:ascii="宋体" w:hAnsi="宋体" w:eastAsia="宋体" w:cs="宋体"/>
                <w:b/>
                <w:bCs/>
                <w:color w:val="auto"/>
                <w:sz w:val="21"/>
                <w:szCs w:val="21"/>
                <w:highlight w:val="none"/>
                <w:lang w:eastAsia="zh-Hans"/>
              </w:rPr>
              <w:t>数量</w:t>
            </w:r>
          </w:p>
        </w:tc>
        <w:tc>
          <w:tcPr>
            <w:tcW w:w="795" w:type="dxa"/>
            <w:noWrap w:val="0"/>
            <w:vAlign w:val="center"/>
          </w:tcPr>
          <w:p w14:paraId="76FEBD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rPr>
              <w:t>单位</w:t>
            </w:r>
          </w:p>
        </w:tc>
        <w:tc>
          <w:tcPr>
            <w:tcW w:w="1349" w:type="dxa"/>
            <w:noWrap w:val="0"/>
            <w:vAlign w:val="center"/>
          </w:tcPr>
          <w:p w14:paraId="2257AF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eastAsia="zh-Hans"/>
              </w:rPr>
            </w:pPr>
            <w:r>
              <w:rPr>
                <w:rFonts w:hint="eastAsia" w:ascii="宋体" w:hAnsi="宋体" w:eastAsia="宋体" w:cs="宋体"/>
                <w:b/>
                <w:bCs/>
                <w:color w:val="auto"/>
                <w:sz w:val="21"/>
                <w:szCs w:val="21"/>
                <w:highlight w:val="none"/>
                <w:lang w:eastAsia="zh-Hans"/>
              </w:rPr>
              <w:t>中小企业划分标准所属行业</w:t>
            </w:r>
          </w:p>
        </w:tc>
      </w:tr>
      <w:tr w14:paraId="2BA7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50BD7CD4">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945" w:type="dxa"/>
            <w:noWrap w:val="0"/>
            <w:vAlign w:val="center"/>
          </w:tcPr>
          <w:p w14:paraId="66FCCEC2">
            <w:pPr>
              <w:ind w:left="-21" w:leftChars="-10" w:right="45"/>
              <w:jc w:val="center"/>
              <w:rPr>
                <w:rFonts w:hint="eastAsia" w:ascii="宋体" w:hAnsi="宋体" w:eastAsia="宋体" w:cs="宋体"/>
                <w:color w:val="auto"/>
                <w:kern w:val="0"/>
                <w:sz w:val="21"/>
                <w:szCs w:val="21"/>
                <w:highlight w:val="none"/>
                <w:lang w:val="en-US" w:eastAsia="zh-CN" w:bidi="ar-SA"/>
              </w:rPr>
            </w:pPr>
            <w:bookmarkStart w:id="12" w:name="OLE_LINK4"/>
            <w:r>
              <w:rPr>
                <w:rFonts w:hint="eastAsia" w:ascii="宋体" w:hAnsi="宋体" w:eastAsia="宋体" w:cs="宋体"/>
                <w:color w:val="auto"/>
                <w:sz w:val="21"/>
                <w:szCs w:val="21"/>
                <w:highlight w:val="none"/>
              </w:rPr>
              <w:t>实训室安全准入与考核管理系统</w:t>
            </w:r>
            <w:bookmarkEnd w:id="12"/>
          </w:p>
        </w:tc>
        <w:tc>
          <w:tcPr>
            <w:tcW w:w="5571" w:type="dxa"/>
            <w:noWrap w:val="0"/>
            <w:vAlign w:val="center"/>
          </w:tcPr>
          <w:p w14:paraId="5C30F216">
            <w:pPr>
              <w:numPr>
                <w:ilvl w:val="0"/>
                <w:numId w:val="0"/>
              </w:numPr>
              <w:ind w:right="45"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系统组成。在线练习、在线考试和安全证书管理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日常培训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2.安全类别管理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2.1安全类别：覆盖通识、化学、机械、电气、生物、人文、辐射、危险品、消防等类别与方向，学院也可以根据自身学科需求，自定义增减类别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2.2实验室类别管理：可根据学科专业需求，将安全类别新增、修改、删除，同时与实验室进行关联管理，方便后续拓展联动实验室开放预约业务。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3.组卷管理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资源库：自带题目5000道试题，用户也可以自行添加或导入新的试题（手动添加+导入）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自带300分钟关于实训室安全管理的视频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无版权争议）</w:t>
            </w:r>
            <w:r>
              <w:rPr>
                <w:rFonts w:hint="eastAsia" w:ascii="宋体" w:hAnsi="宋体" w:eastAsia="宋体" w:cs="宋体"/>
                <w:color w:val="auto"/>
                <w:sz w:val="21"/>
                <w:szCs w:val="21"/>
                <w:highlight w:val="none"/>
              </w:rPr>
              <w:t>，用户也可以自行添加或导入新的视频（手动添加+导入）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自带</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个关于实训室安全管理的规范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制度文件</w:t>
            </w:r>
            <w:r>
              <w:rPr>
                <w:rFonts w:hint="eastAsia" w:ascii="宋体" w:hAnsi="宋体" w:eastAsia="宋体" w:cs="宋体"/>
                <w:color w:val="auto"/>
                <w:sz w:val="21"/>
                <w:szCs w:val="21"/>
                <w:highlight w:val="none"/>
              </w:rPr>
              <w:t>（仅限于国家和省级），用户也可以自行添加或导入新的标准（手动添加+导入）。</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3.2提供单选，多选，判断等题型及答案解析的录入（同时支持批量导入），并能够将相关题目与安全类型相关联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3.3支持类别、专业、通用、</w:t>
            </w:r>
            <w:r>
              <w:rPr>
                <w:rFonts w:hint="eastAsia" w:ascii="宋体" w:hAnsi="宋体" w:eastAsia="宋体" w:cs="宋体"/>
                <w:color w:val="auto"/>
                <w:sz w:val="21"/>
                <w:szCs w:val="21"/>
                <w:highlight w:val="none"/>
                <w:lang w:eastAsia="zh-CN"/>
              </w:rPr>
              <w:t>院部</w:t>
            </w:r>
            <w:r>
              <w:rPr>
                <w:rFonts w:hint="eastAsia" w:ascii="宋体" w:hAnsi="宋体" w:eastAsia="宋体" w:cs="宋体"/>
                <w:color w:val="auto"/>
                <w:sz w:val="21"/>
                <w:szCs w:val="21"/>
                <w:highlight w:val="none"/>
              </w:rPr>
              <w:t>等多种类型的组卷方式</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3.4组卷时可设置试卷名称、试卷总分、考试时长、通过分数、考前练题、限考次数、试卷有效期、考试范围（全校或特定学院）等参数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3.5组卷时可以配置每类题型的数量及分值，学生考试时候会根据组卷规则从题库中自动抽题组卷。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3.6可根据试题类别、考试专业，由系统对应题库自动组卷；要求每位学生参与考试的试卷结合自身专业类别，有所不同。</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4.考试管理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4.1管理员可以为各个考试项目设置题目数量、题目分值、考试时长、合格分数线、考卷有效期等信息；并可以支持组成综合卷，设置各个专业题库在考卷题目总数中的占比，从而从中抽取一定比例的题目进行综合组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4.2管理员可以设置考试的时间长度。考生考试过程中，若时间已到，系统会强制提交答卷。</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4.3自动判卷：考生提交答卷后，系统自动批阅算出考试成绩。系统会记录考生的历次考试成绩，并取最高分数作为其最终成绩。各级管理员既可以导出最终成绩单，也可以导出历次成绩单。</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4.4学生在提交后可在线查看自己的答卷；支持多次考试机会，系统自动记录最高分</w:t>
            </w:r>
            <w:r>
              <w:rPr>
                <w:rFonts w:hint="eastAsia" w:ascii="宋体" w:hAnsi="宋体" w:eastAsia="宋体" w:cs="宋体"/>
                <w:color w:val="auto"/>
                <w:sz w:val="21"/>
                <w:szCs w:val="21"/>
                <w:highlight w:val="none"/>
                <w:lang w:eastAsia="zh-CN"/>
              </w:rPr>
              <w:t>。</w:t>
            </w:r>
          </w:p>
          <w:p w14:paraId="66166817">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4.5系统需具备防作弊功能，考试时鼠标禁止移动出规定范围，否则自动退出考试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5.查询统计</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5.1学员查看考试通告，查看试卷分类，在线考试，查看结果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5.2师生可根据需求下载文档</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图片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视频等学习资料以及练习安全考试试题（练习错误，系统可进行提示并告知正确答案），并能生成学习信息表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5.3</w:t>
            </w:r>
            <w:r>
              <w:rPr>
                <w:rFonts w:hint="eastAsia" w:ascii="宋体" w:hAnsi="宋体" w:eastAsia="宋体" w:cs="宋体"/>
                <w:color w:val="auto"/>
                <w:sz w:val="21"/>
                <w:szCs w:val="21"/>
                <w:highlight w:val="none"/>
                <w:lang w:eastAsia="zh-CN"/>
              </w:rPr>
              <w:t>院部</w:t>
            </w:r>
            <w:r>
              <w:rPr>
                <w:rFonts w:hint="eastAsia" w:ascii="宋体" w:hAnsi="宋体" w:eastAsia="宋体" w:cs="宋体"/>
                <w:color w:val="auto"/>
                <w:sz w:val="21"/>
                <w:szCs w:val="21"/>
                <w:highlight w:val="none"/>
              </w:rPr>
              <w:t>管理：创建管理</w:t>
            </w:r>
            <w:r>
              <w:rPr>
                <w:rFonts w:hint="eastAsia" w:ascii="宋体" w:hAnsi="宋体" w:eastAsia="宋体" w:cs="宋体"/>
                <w:color w:val="auto"/>
                <w:sz w:val="21"/>
                <w:szCs w:val="21"/>
                <w:highlight w:val="none"/>
                <w:lang w:eastAsia="zh-CN"/>
              </w:rPr>
              <w:t>院部</w:t>
            </w:r>
            <w:r>
              <w:rPr>
                <w:rFonts w:hint="eastAsia" w:ascii="宋体" w:hAnsi="宋体" w:eastAsia="宋体" w:cs="宋体"/>
                <w:color w:val="auto"/>
                <w:sz w:val="21"/>
                <w:szCs w:val="21"/>
                <w:highlight w:val="none"/>
              </w:rPr>
              <w:t>学生信息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5.4系统可自动按</w:t>
            </w:r>
            <w:r>
              <w:rPr>
                <w:rFonts w:hint="eastAsia" w:ascii="宋体" w:hAnsi="宋体" w:eastAsia="宋体" w:cs="宋体"/>
                <w:color w:val="auto"/>
                <w:sz w:val="21"/>
                <w:szCs w:val="21"/>
                <w:highlight w:val="none"/>
                <w:lang w:val="en-US" w:eastAsia="zh-CN"/>
              </w:rPr>
              <w:t>院部</w:t>
            </w:r>
            <w:r>
              <w:rPr>
                <w:rFonts w:hint="eastAsia" w:ascii="宋体" w:hAnsi="宋体" w:eastAsia="宋体" w:cs="宋体"/>
                <w:color w:val="auto"/>
                <w:sz w:val="21"/>
                <w:szCs w:val="21"/>
                <w:highlight w:val="none"/>
              </w:rPr>
              <w:t>分类统计总人数、考试通过人数、通过率并生成统计报表。</w:t>
            </w:r>
          </w:p>
          <w:p w14:paraId="27241F8F">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5.5系统可根据安全考试相关信息自动统计最高分、最低分、参考人数、合格人数、通过率、各分数段人数等（并可根据统计信息进行统计分析，生成各类统计图表）；并可进行考试成绩排名查询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6.证书管理</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6.1系统可设置模板名称、有效期信息，并提供预览，下载等功能，有效管理安全证书模板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6.2系统提供按学工号、姓名等信息，查询用户成绩和证书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6.3系统提供个人中心管理，可查看个人证书以及考试成绩和试卷记录。</w:t>
            </w:r>
          </w:p>
        </w:tc>
        <w:tc>
          <w:tcPr>
            <w:tcW w:w="750" w:type="dxa"/>
            <w:noWrap w:val="0"/>
            <w:vAlign w:val="center"/>
          </w:tcPr>
          <w:p w14:paraId="3440D0CC">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795" w:type="dxa"/>
            <w:noWrap w:val="0"/>
            <w:vAlign w:val="center"/>
          </w:tcPr>
          <w:p w14:paraId="2A5FC514">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1349" w:type="dxa"/>
            <w:noWrap w:val="0"/>
            <w:vAlign w:val="center"/>
          </w:tcPr>
          <w:p w14:paraId="3C463BB7">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3304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441D4FE9">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p>
        </w:tc>
        <w:tc>
          <w:tcPr>
            <w:tcW w:w="945" w:type="dxa"/>
            <w:noWrap w:val="0"/>
            <w:vAlign w:val="center"/>
          </w:tcPr>
          <w:p w14:paraId="535FA22B">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安全准入移动端</w:t>
            </w:r>
          </w:p>
        </w:tc>
        <w:tc>
          <w:tcPr>
            <w:tcW w:w="5571" w:type="dxa"/>
            <w:noWrap w:val="0"/>
            <w:vAlign w:val="center"/>
          </w:tcPr>
          <w:p w14:paraId="64C969D1">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1.用户可下载学习资料、查询个人证书情况以及考试成绩及试卷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2.在线学习系统发布的安全通知公告、新闻信息、规章制度等安全知识</w:t>
            </w:r>
            <w:r>
              <w:rPr>
                <w:rFonts w:hint="eastAsia" w:ascii="宋体" w:hAnsi="宋体" w:eastAsia="宋体" w:cs="宋体"/>
                <w:color w:val="auto"/>
                <w:sz w:val="21"/>
                <w:szCs w:val="21"/>
                <w:highlight w:val="none"/>
                <w:lang w:eastAsia="zh-CN"/>
              </w:rPr>
              <w:t>。</w:t>
            </w:r>
          </w:p>
          <w:p w14:paraId="1B9EEF4B">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3.在线反复练习安全考试试题，若练习错误，系统可进行提示并告知正确答案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4.师生可选择需要参加的考试，在规定时间内完成在线安全考试考核</w:t>
            </w:r>
            <w:r>
              <w:rPr>
                <w:rFonts w:hint="eastAsia" w:ascii="宋体" w:hAnsi="宋体" w:eastAsia="宋体" w:cs="宋体"/>
                <w:color w:val="auto"/>
                <w:sz w:val="21"/>
                <w:szCs w:val="21"/>
                <w:highlight w:val="none"/>
                <w:lang w:eastAsia="zh-CN"/>
              </w:rPr>
              <w:t>。</w:t>
            </w:r>
          </w:p>
          <w:p w14:paraId="2A43479E">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5.支持HarmonyOS、android、IOS系统，移动端需对接到学校公众号和智慧经贸APP。</w:t>
            </w:r>
          </w:p>
        </w:tc>
        <w:tc>
          <w:tcPr>
            <w:tcW w:w="750" w:type="dxa"/>
            <w:noWrap w:val="0"/>
            <w:vAlign w:val="center"/>
          </w:tcPr>
          <w:p w14:paraId="5E10182F">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795" w:type="dxa"/>
            <w:noWrap w:val="0"/>
            <w:vAlign w:val="center"/>
          </w:tcPr>
          <w:p w14:paraId="0C306004">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1349" w:type="dxa"/>
            <w:noWrap w:val="0"/>
            <w:vAlign w:val="center"/>
          </w:tcPr>
          <w:p w14:paraId="666C0BC7">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0C5F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21925DA8">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w:t>
            </w:r>
          </w:p>
        </w:tc>
        <w:tc>
          <w:tcPr>
            <w:tcW w:w="945" w:type="dxa"/>
            <w:noWrap w:val="0"/>
            <w:vAlign w:val="center"/>
          </w:tcPr>
          <w:p w14:paraId="0965E95D">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网络存储设备</w:t>
            </w:r>
          </w:p>
        </w:tc>
        <w:tc>
          <w:tcPr>
            <w:tcW w:w="5571" w:type="dxa"/>
            <w:noWrap w:val="0"/>
            <w:vAlign w:val="center"/>
          </w:tcPr>
          <w:p w14:paraId="417A3138">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1.存储空间：硬盘存储空间480T</w:t>
            </w:r>
            <w:r>
              <w:rPr>
                <w:rFonts w:hint="eastAsia" w:ascii="宋体" w:hAnsi="宋体" w:eastAsia="宋体" w:cs="宋体"/>
                <w:color w:val="auto"/>
                <w:sz w:val="21"/>
                <w:szCs w:val="21"/>
                <w:highlight w:val="none"/>
                <w:lang w:eastAsia="zh-CN"/>
              </w:rPr>
              <w:t>。</w:t>
            </w:r>
          </w:p>
          <w:p w14:paraId="399FAFE5">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2.支持同时进行3072Mbps视（音）频码流存储，3304Mbps视（音）频码流转发、1200Mbps视（音）频码流回放</w:t>
            </w:r>
            <w:r>
              <w:rPr>
                <w:rFonts w:hint="eastAsia" w:ascii="宋体" w:hAnsi="宋体" w:eastAsia="宋体" w:cs="宋体"/>
                <w:color w:val="auto"/>
                <w:sz w:val="21"/>
                <w:szCs w:val="21"/>
                <w:highlight w:val="none"/>
                <w:lang w:eastAsia="zh-CN"/>
              </w:rPr>
              <w:t>。</w:t>
            </w:r>
          </w:p>
          <w:p w14:paraId="4730BA3E">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3.在转发模式下，可支持6600Mbps视（音）频码流的转发；可支持800MBps的图片并发输入，同时800MBps图片并发输出</w:t>
            </w:r>
            <w:r>
              <w:rPr>
                <w:rFonts w:hint="eastAsia" w:ascii="宋体" w:hAnsi="宋体" w:eastAsia="宋体" w:cs="宋体"/>
                <w:color w:val="auto"/>
                <w:sz w:val="21"/>
                <w:szCs w:val="21"/>
                <w:highlight w:val="none"/>
                <w:lang w:eastAsia="zh-CN"/>
              </w:rPr>
              <w:t>。</w:t>
            </w:r>
          </w:p>
          <w:p w14:paraId="21C57F8D">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4.可通过IE浏览器进行视频浏览、回放和下载；并支持多画面同时段录像同时回放，或不同时段录像同时回放；网络下载录像速度不低于150MB/s</w:t>
            </w:r>
            <w:r>
              <w:rPr>
                <w:rFonts w:hint="eastAsia" w:ascii="宋体" w:hAnsi="宋体" w:eastAsia="宋体" w:cs="宋体"/>
                <w:color w:val="auto"/>
                <w:sz w:val="21"/>
                <w:szCs w:val="21"/>
                <w:highlight w:val="none"/>
                <w:lang w:eastAsia="zh-CN"/>
              </w:rPr>
              <w:t>。</w:t>
            </w:r>
          </w:p>
          <w:p w14:paraId="21ACB3B4">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5.设备可接入双音轨，可同时或分别播放左右音轨</w:t>
            </w:r>
            <w:r>
              <w:rPr>
                <w:rFonts w:hint="eastAsia" w:ascii="宋体" w:hAnsi="宋体" w:eastAsia="宋体" w:cs="宋体"/>
                <w:color w:val="auto"/>
                <w:sz w:val="21"/>
                <w:szCs w:val="21"/>
                <w:highlight w:val="none"/>
                <w:lang w:eastAsia="zh-CN"/>
              </w:rPr>
              <w:t>。</w:t>
            </w:r>
          </w:p>
          <w:p w14:paraId="552F5F6C">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bookmarkStart w:id="13" w:name="OLE_LINK14"/>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支持纠删码技术。</w:t>
            </w:r>
            <w:r>
              <w:rPr>
                <w:rFonts w:hint="eastAsia" w:ascii="宋体" w:hAnsi="宋体" w:eastAsia="宋体" w:cs="宋体"/>
                <w:color w:val="auto"/>
                <w:sz w:val="21"/>
                <w:szCs w:val="21"/>
                <w:highlight w:val="none"/>
                <w:lang w:val="en-US" w:eastAsia="zh-CN"/>
              </w:rPr>
              <w:t>最多</w:t>
            </w:r>
            <w:r>
              <w:rPr>
                <w:rFonts w:hint="eastAsia" w:ascii="宋体" w:hAnsi="宋体" w:eastAsia="宋体" w:cs="宋体"/>
                <w:color w:val="auto"/>
                <w:sz w:val="21"/>
                <w:szCs w:val="21"/>
                <w:highlight w:val="none"/>
              </w:rPr>
              <w:t>支持16个盘掉线或者损坏，数据仍然有效，保留的硬盘中的数据可正常读出，且新数据可正常写入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创建RAID后即为同步完成状态</w:t>
            </w:r>
            <w:bookmarkEnd w:id="13"/>
            <w:r>
              <w:rPr>
                <w:rFonts w:hint="eastAsia" w:ascii="宋体" w:hAnsi="宋体" w:eastAsia="宋体" w:cs="宋体"/>
                <w:color w:val="auto"/>
                <w:sz w:val="21"/>
                <w:szCs w:val="21"/>
                <w:highlight w:val="none"/>
                <w:lang w:eastAsia="zh-CN"/>
              </w:rPr>
              <w:t>。</w:t>
            </w:r>
          </w:p>
          <w:p w14:paraId="6E411160">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7.支持将第三方业务平台整体嵌入在一个控制器中，同时运行。</w:t>
            </w:r>
          </w:p>
          <w:p w14:paraId="7B64E144">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8.具有包括RAID0、RAID1、RAID3、RAID4、RAID5、RAID6、RAID10、RAID50、RAID60、超级RAID、JBOD、RAID5EE的RAID功能设置选项；具有同步优先、业务优先、I/O均衡及自适应四种RAID同步方式设置选项。</w:t>
            </w:r>
          </w:p>
          <w:p w14:paraId="69E9BC1A">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支持监控级和企业级硬盘创建RAID。支持RAID在线扩容。支持RAID5初始化功能，可在10秒内完成RAID自盘校验。支持损坏RAID按照损坏等级进行重构，支持全局重构、局部重构、区域重构和不重构4种模式。重构速度</w:t>
            </w:r>
            <w:r>
              <w:rPr>
                <w:rFonts w:hint="eastAsia" w:ascii="宋体" w:hAnsi="宋体" w:eastAsia="宋体" w:cs="宋体"/>
                <w:color w:val="auto"/>
                <w:sz w:val="21"/>
                <w:szCs w:val="21"/>
                <w:highlight w:val="none"/>
                <w:lang w:val="en-US" w:eastAsia="zh-CN"/>
              </w:rPr>
              <w:t>不低于</w:t>
            </w:r>
            <w:r>
              <w:rPr>
                <w:rFonts w:hint="eastAsia" w:ascii="宋体" w:hAnsi="宋体" w:eastAsia="宋体" w:cs="宋体"/>
                <w:color w:val="auto"/>
                <w:sz w:val="21"/>
                <w:szCs w:val="21"/>
                <w:highlight w:val="none"/>
              </w:rPr>
              <w:t>2TB/h。</w:t>
            </w:r>
          </w:p>
          <w:p w14:paraId="38D15AF2">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10.设备可批量添加、修改接入的前端摄像机IP地址，并可对已添加的前端摄像机IP进行过滤</w:t>
            </w:r>
            <w:r>
              <w:rPr>
                <w:rFonts w:hint="eastAsia" w:ascii="宋体" w:hAnsi="宋体" w:eastAsia="宋体" w:cs="宋体"/>
                <w:color w:val="auto"/>
                <w:sz w:val="21"/>
                <w:szCs w:val="21"/>
                <w:highlight w:val="none"/>
                <w:lang w:eastAsia="zh-CN"/>
              </w:rPr>
              <w:t>。</w:t>
            </w:r>
          </w:p>
          <w:p w14:paraId="3BBFA69D">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11.支持扩展MiniSASHD接口，支持通过电口SAS线或光口SAS线进行互联，能够通过SAS线进行上行和下行的数据通信。</w:t>
            </w:r>
          </w:p>
          <w:p w14:paraId="60347C0B">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12.支持任意N台设备（N≥2）通过SAS数据线组成环状结构集群，设备集群之间数据能够通过环状结构进行传递和通信，其中任意1台设备都可以访问其下游设备中的数据。</w:t>
            </w:r>
          </w:p>
          <w:p w14:paraId="6CC3DF39">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13.支持多台设备组成SAS数据环集群，当环状结构上的任意1个节点出现故障（包括主控盒硬件故障、软件故障或者网络故障等），该节点设备上的硬盘通过SAS链路被上游设备接管，该节点设备的上业务也会迁移到上游设备继续执行，从而实现业务不中断、录像不丢失，同时该故障设备的硬盘中数据可以被上游设备读取。</w:t>
            </w:r>
          </w:p>
        </w:tc>
        <w:tc>
          <w:tcPr>
            <w:tcW w:w="750" w:type="dxa"/>
            <w:noWrap w:val="0"/>
            <w:vAlign w:val="center"/>
          </w:tcPr>
          <w:p w14:paraId="27DC66B4">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795" w:type="dxa"/>
            <w:noWrap w:val="0"/>
            <w:vAlign w:val="center"/>
          </w:tcPr>
          <w:p w14:paraId="267F91BB">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1349" w:type="dxa"/>
            <w:noWrap w:val="0"/>
            <w:vAlign w:val="center"/>
          </w:tcPr>
          <w:p w14:paraId="539E9077">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505C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37E5B222">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w:t>
            </w:r>
          </w:p>
        </w:tc>
        <w:tc>
          <w:tcPr>
            <w:tcW w:w="945" w:type="dxa"/>
            <w:noWrap w:val="0"/>
            <w:vAlign w:val="center"/>
          </w:tcPr>
          <w:p w14:paraId="0852C8D7">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交换机</w:t>
            </w:r>
          </w:p>
        </w:tc>
        <w:tc>
          <w:tcPr>
            <w:tcW w:w="5571" w:type="dxa"/>
            <w:noWrap w:val="0"/>
            <w:vAlign w:val="center"/>
          </w:tcPr>
          <w:p w14:paraId="09FAE2C0">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1.千兆POE电口数≥24个，千兆SFP光口≥2个；</w:t>
            </w:r>
          </w:p>
          <w:p w14:paraId="37DA38C1">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2.交换性能256Gbps；</w:t>
            </w:r>
          </w:p>
          <w:p w14:paraId="47BE7D5A">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3.包转发率≥48Mpps；</w:t>
            </w:r>
          </w:p>
          <w:p w14:paraId="3EDE2F19">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4.支持IEEE802.3af/at供电标准，单端口最大输出功率≥30W，整机最大输出功率≥185W。</w:t>
            </w:r>
          </w:p>
        </w:tc>
        <w:tc>
          <w:tcPr>
            <w:tcW w:w="750" w:type="dxa"/>
            <w:noWrap w:val="0"/>
            <w:vAlign w:val="center"/>
          </w:tcPr>
          <w:p w14:paraId="2F7F86CF">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12</w:t>
            </w:r>
          </w:p>
        </w:tc>
        <w:tc>
          <w:tcPr>
            <w:tcW w:w="795" w:type="dxa"/>
            <w:noWrap w:val="0"/>
            <w:vAlign w:val="center"/>
          </w:tcPr>
          <w:p w14:paraId="213C8C74">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台</w:t>
            </w:r>
          </w:p>
        </w:tc>
        <w:tc>
          <w:tcPr>
            <w:tcW w:w="1349" w:type="dxa"/>
            <w:noWrap w:val="0"/>
            <w:vAlign w:val="center"/>
          </w:tcPr>
          <w:p w14:paraId="0BA4A3EF">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6BC3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1C96CEF3">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w:t>
            </w:r>
          </w:p>
        </w:tc>
        <w:tc>
          <w:tcPr>
            <w:tcW w:w="945" w:type="dxa"/>
            <w:noWrap w:val="0"/>
            <w:vAlign w:val="center"/>
          </w:tcPr>
          <w:p w14:paraId="352D0AAE">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视频服务器</w:t>
            </w:r>
          </w:p>
        </w:tc>
        <w:tc>
          <w:tcPr>
            <w:tcW w:w="5571" w:type="dxa"/>
            <w:noWrap w:val="0"/>
            <w:vAlign w:val="center"/>
          </w:tcPr>
          <w:p w14:paraId="6D5C6520">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1.处理器：2块CPU,32</w:t>
            </w:r>
            <w:r>
              <w:rPr>
                <w:rFonts w:hint="eastAsia" w:ascii="宋体" w:hAnsi="宋体" w:eastAsia="宋体" w:cs="宋体"/>
                <w:color w:val="auto"/>
                <w:sz w:val="21"/>
                <w:szCs w:val="21"/>
                <w:highlight w:val="none"/>
                <w:lang w:val="en-US" w:eastAsia="zh-CN"/>
              </w:rPr>
              <w:t>核</w:t>
            </w:r>
            <w:r>
              <w:rPr>
                <w:rFonts w:hint="eastAsia" w:ascii="宋体" w:hAnsi="宋体" w:eastAsia="宋体" w:cs="宋体"/>
                <w:color w:val="auto"/>
                <w:sz w:val="21"/>
                <w:szCs w:val="21"/>
                <w:highlight w:val="none"/>
              </w:rPr>
              <w:t>@2.4GHz。</w:t>
            </w:r>
          </w:p>
          <w:p w14:paraId="797DB9AA">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2.内存：64GB×2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3200MT/s</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16个DDR4内存插槽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支持RDIMM内存设计速率最大可达2400MT/s内存保护支持ECC单根内存条容量支持16GB/32GB。</w:t>
            </w:r>
          </w:p>
          <w:p w14:paraId="46AC8899">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3.硬盘：2块4T3.5吋SATA热插拔机械硬盘，最大支持12块3.5吋/2.5吋的SAS/SATA机械硬盘或固态硬盘。</w:t>
            </w:r>
          </w:p>
          <w:p w14:paraId="271398F4">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4.电源：1+1冗余热插拔电源模块，具体电源：白金1200W交流电源。</w:t>
            </w:r>
          </w:p>
          <w:p w14:paraId="7F2DE3A6">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5.RAID控制卡：支持0/1/10/1E。</w:t>
            </w:r>
          </w:p>
          <w:p w14:paraId="06EB63A4">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6.风扇：4个</w:t>
            </w:r>
            <w:bookmarkStart w:id="14" w:name="OLE_LINK5"/>
            <w:r>
              <w:rPr>
                <w:rFonts w:hint="eastAsia" w:ascii="宋体" w:hAnsi="宋体" w:eastAsia="宋体" w:cs="宋体"/>
                <w:color w:val="auto"/>
                <w:sz w:val="21"/>
                <w:szCs w:val="21"/>
                <w:highlight w:val="none"/>
              </w:rPr>
              <w:t>热插拔风扇</w:t>
            </w:r>
            <w:bookmarkEnd w:id="14"/>
            <w:r>
              <w:rPr>
                <w:rFonts w:hint="eastAsia" w:ascii="宋体" w:hAnsi="宋体" w:eastAsia="宋体" w:cs="宋体"/>
                <w:color w:val="auto"/>
                <w:sz w:val="21"/>
                <w:szCs w:val="21"/>
                <w:highlight w:val="none"/>
              </w:rPr>
              <w:t>，支持单风扇失效。</w:t>
            </w:r>
          </w:p>
        </w:tc>
        <w:tc>
          <w:tcPr>
            <w:tcW w:w="750" w:type="dxa"/>
            <w:noWrap w:val="0"/>
            <w:vAlign w:val="center"/>
          </w:tcPr>
          <w:p w14:paraId="306D2D91">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w:t>
            </w:r>
          </w:p>
        </w:tc>
        <w:tc>
          <w:tcPr>
            <w:tcW w:w="795" w:type="dxa"/>
            <w:noWrap w:val="0"/>
            <w:vAlign w:val="center"/>
          </w:tcPr>
          <w:p w14:paraId="2DE74604">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台</w:t>
            </w:r>
          </w:p>
        </w:tc>
        <w:tc>
          <w:tcPr>
            <w:tcW w:w="1349" w:type="dxa"/>
            <w:noWrap w:val="0"/>
            <w:vAlign w:val="center"/>
          </w:tcPr>
          <w:p w14:paraId="05477081">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52D0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665DB465">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6</w:t>
            </w:r>
          </w:p>
        </w:tc>
        <w:tc>
          <w:tcPr>
            <w:tcW w:w="945" w:type="dxa"/>
            <w:noWrap w:val="0"/>
            <w:vAlign w:val="center"/>
          </w:tcPr>
          <w:p w14:paraId="39ABDF65">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智能网络摄像机及支架</w:t>
            </w:r>
          </w:p>
        </w:tc>
        <w:tc>
          <w:tcPr>
            <w:tcW w:w="5571" w:type="dxa"/>
            <w:noWrap w:val="0"/>
            <w:vAlign w:val="center"/>
          </w:tcPr>
          <w:p w14:paraId="53705A22">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1.传感器要求400万像素1/3英寸CMOS图像传感器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视频输出400万(2560x1440)@25fps。</w:t>
            </w:r>
          </w:p>
          <w:p w14:paraId="553531E7">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.支持H.265编码。</w:t>
            </w:r>
          </w:p>
          <w:p w14:paraId="7AE073BD">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.内置高效红外补光灯，红外监控距离不低于30米。</w:t>
            </w:r>
          </w:p>
          <w:p w14:paraId="608766E1">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.支持ROI，SMARTH.264/H.265。</w:t>
            </w:r>
          </w:p>
          <w:p w14:paraId="2DA5513E">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.支持数字宽动态，3D降噪，强光抑制，背光补偿，数字水印，适用不同监控环境</w:t>
            </w:r>
            <w:r>
              <w:rPr>
                <w:rFonts w:hint="eastAsia" w:ascii="宋体" w:hAnsi="宋体" w:eastAsia="宋体" w:cs="宋体"/>
                <w:color w:val="auto"/>
                <w:sz w:val="21"/>
                <w:szCs w:val="21"/>
                <w:highlight w:val="none"/>
                <w:lang w:eastAsia="zh-CN"/>
              </w:rPr>
              <w:t>。</w:t>
            </w:r>
          </w:p>
          <w:p w14:paraId="286CAE26">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.支持多种异常检测：动态检测，视频遮挡，网络断开，IP冲突，音频异常侦测，非法访问</w:t>
            </w:r>
            <w:r>
              <w:rPr>
                <w:rFonts w:hint="eastAsia" w:ascii="宋体" w:hAnsi="宋体" w:eastAsia="宋体" w:cs="宋体"/>
                <w:color w:val="auto"/>
                <w:sz w:val="21"/>
                <w:szCs w:val="21"/>
                <w:highlight w:val="none"/>
                <w:lang w:eastAsia="zh-CN"/>
              </w:rPr>
              <w:t>。</w:t>
            </w:r>
          </w:p>
          <w:p w14:paraId="2BF7176C">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.内置MIC</w:t>
            </w:r>
            <w:r>
              <w:rPr>
                <w:rFonts w:hint="eastAsia" w:ascii="宋体" w:hAnsi="宋体" w:eastAsia="宋体" w:cs="宋体"/>
                <w:color w:val="auto"/>
                <w:sz w:val="21"/>
                <w:szCs w:val="21"/>
                <w:highlight w:val="none"/>
                <w:lang w:eastAsia="zh-CN"/>
              </w:rPr>
              <w:t>。</w:t>
            </w:r>
          </w:p>
          <w:p w14:paraId="19A44076">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.支持DC12V/POE供电方式</w:t>
            </w:r>
            <w:r>
              <w:rPr>
                <w:rFonts w:hint="eastAsia" w:ascii="宋体" w:hAnsi="宋体" w:eastAsia="宋体" w:cs="宋体"/>
                <w:color w:val="auto"/>
                <w:sz w:val="21"/>
                <w:szCs w:val="21"/>
                <w:highlight w:val="none"/>
                <w:lang w:eastAsia="zh-CN"/>
              </w:rPr>
              <w:t>。</w:t>
            </w:r>
          </w:p>
          <w:p w14:paraId="20F3D559">
            <w:pPr>
              <w:ind w:left="-21" w:leftChars="-10" w:right="45"/>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.支持IP67或IK10防护等级</w:t>
            </w:r>
            <w:r>
              <w:rPr>
                <w:rFonts w:hint="eastAsia" w:ascii="宋体" w:hAnsi="宋体" w:eastAsia="宋体" w:cs="宋体"/>
                <w:color w:val="auto"/>
                <w:sz w:val="21"/>
                <w:szCs w:val="21"/>
                <w:highlight w:val="none"/>
                <w:lang w:eastAsia="zh-CN"/>
              </w:rPr>
              <w:t>。</w:t>
            </w:r>
          </w:p>
        </w:tc>
        <w:tc>
          <w:tcPr>
            <w:tcW w:w="750" w:type="dxa"/>
            <w:noWrap w:val="0"/>
            <w:vAlign w:val="center"/>
          </w:tcPr>
          <w:p w14:paraId="255DFFBE">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180</w:t>
            </w:r>
          </w:p>
        </w:tc>
        <w:tc>
          <w:tcPr>
            <w:tcW w:w="795" w:type="dxa"/>
            <w:noWrap w:val="0"/>
            <w:vAlign w:val="center"/>
          </w:tcPr>
          <w:p w14:paraId="33783939">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套</w:t>
            </w:r>
          </w:p>
        </w:tc>
        <w:tc>
          <w:tcPr>
            <w:tcW w:w="1349" w:type="dxa"/>
            <w:noWrap w:val="0"/>
            <w:vAlign w:val="center"/>
          </w:tcPr>
          <w:p w14:paraId="74861DE5">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30BB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4D30C20F">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w:t>
            </w:r>
          </w:p>
        </w:tc>
        <w:tc>
          <w:tcPr>
            <w:tcW w:w="945" w:type="dxa"/>
            <w:noWrap w:val="0"/>
            <w:vAlign w:val="center"/>
          </w:tcPr>
          <w:p w14:paraId="0014C57C">
            <w:pPr>
              <w:ind w:left="-21" w:leftChars="-10" w:right="4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身份认证对接</w:t>
            </w:r>
          </w:p>
        </w:tc>
        <w:tc>
          <w:tcPr>
            <w:tcW w:w="5571" w:type="dxa"/>
            <w:noWrap w:val="0"/>
            <w:vAlign w:val="center"/>
          </w:tcPr>
          <w:p w14:paraId="62212C84">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平台需要具备统一身份认证管理，可实现无缝对接包括数字校园在内的每个第三方应用，通过实现统一身份认证，只需一个用户名密码就可以完成多个应用系统/平台的登录操作；平台需要支持通过JSON方式与校园管理系统进行身份验证，支持同步人员基础信息和部门基础信息，平台支持SSO方式对业务进行整合</w:t>
            </w:r>
            <w:r>
              <w:rPr>
                <w:rFonts w:hint="eastAsia" w:ascii="宋体" w:hAnsi="宋体" w:eastAsia="宋体" w:cs="宋体"/>
                <w:color w:val="auto"/>
                <w:sz w:val="21"/>
                <w:szCs w:val="21"/>
                <w:highlight w:val="none"/>
                <w:lang w:eastAsia="zh-CN"/>
              </w:rPr>
              <w:t>。</w:t>
            </w:r>
          </w:p>
          <w:p w14:paraId="022BC17B">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2.需要支持在后台管理模块集中管理对接的第三方应用信息，并为每一个应用提供唯一标识的应用ID和Token以及专属的接口地址；双方在数据对接过程中通过以上信息完成信息认证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对接的每个应用支持按照角色进行权限授权</w:t>
            </w:r>
            <w:r>
              <w:rPr>
                <w:rFonts w:hint="eastAsia" w:ascii="宋体" w:hAnsi="宋体" w:eastAsia="宋体" w:cs="宋体"/>
                <w:color w:val="auto"/>
                <w:sz w:val="21"/>
                <w:szCs w:val="21"/>
                <w:highlight w:val="none"/>
                <w:lang w:eastAsia="zh-CN"/>
              </w:rPr>
              <w:t>。</w:t>
            </w:r>
          </w:p>
          <w:p w14:paraId="04CB25D2">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需要具备统一身份认证平台的前台应用门户展示页面，并可在后台管理页面进行集中配置(包括但不限于：应用名称修改、是否启用、应用背景颜色、应用模块前台占用宽度、应用图标灵活配置，应用授权自定义授权给多个角色等)；统一身份认证前台页面背景图片、LOGO信息、版权文字信息支持修改。</w:t>
            </w:r>
          </w:p>
        </w:tc>
        <w:tc>
          <w:tcPr>
            <w:tcW w:w="750" w:type="dxa"/>
            <w:noWrap w:val="0"/>
            <w:vAlign w:val="center"/>
          </w:tcPr>
          <w:p w14:paraId="2BE9EBFE">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795" w:type="dxa"/>
            <w:noWrap w:val="0"/>
            <w:vAlign w:val="center"/>
          </w:tcPr>
          <w:p w14:paraId="1FA59BC8">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w:t>
            </w:r>
          </w:p>
        </w:tc>
        <w:tc>
          <w:tcPr>
            <w:tcW w:w="1349" w:type="dxa"/>
            <w:noWrap w:val="0"/>
            <w:vAlign w:val="center"/>
          </w:tcPr>
          <w:p w14:paraId="010EA257">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7713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11DCB04A">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8</w:t>
            </w:r>
          </w:p>
        </w:tc>
        <w:tc>
          <w:tcPr>
            <w:tcW w:w="945" w:type="dxa"/>
            <w:noWrap w:val="0"/>
            <w:vAlign w:val="center"/>
          </w:tcPr>
          <w:p w14:paraId="29FD488A">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教务管理数据对接</w:t>
            </w:r>
          </w:p>
        </w:tc>
        <w:tc>
          <w:tcPr>
            <w:tcW w:w="5571" w:type="dxa"/>
            <w:noWrap w:val="0"/>
            <w:vAlign w:val="center"/>
          </w:tcPr>
          <w:p w14:paraId="2BF170AC">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1.与校方教务排课系统（青果教务管理系统）数据对接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对接后实现数据自动同步，不需要人工录入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对接后实时获取教务排课系统课表数据并推送至平台，根据课表信息自动开启、关闭系统，完成无人值守全自动管理</w:t>
            </w:r>
            <w:r>
              <w:rPr>
                <w:rFonts w:hint="eastAsia" w:ascii="宋体" w:hAnsi="宋体" w:eastAsia="宋体" w:cs="宋体"/>
                <w:color w:val="auto"/>
                <w:sz w:val="21"/>
                <w:szCs w:val="21"/>
                <w:highlight w:val="none"/>
                <w:lang w:eastAsia="zh-CN"/>
              </w:rPr>
              <w:t>。</w:t>
            </w:r>
          </w:p>
          <w:p w14:paraId="131ACEFD">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2.支持当教务排课数据发生变更时，对接程序自动与校方数据中心同步并且自动下发到</w:t>
            </w:r>
            <w:r>
              <w:rPr>
                <w:rFonts w:hint="eastAsia" w:ascii="宋体" w:hAnsi="宋体" w:eastAsia="宋体" w:cs="宋体"/>
                <w:color w:val="auto"/>
                <w:sz w:val="21"/>
                <w:szCs w:val="21"/>
                <w:highlight w:val="none"/>
                <w:lang w:val="en-US" w:eastAsia="zh-CN"/>
              </w:rPr>
              <w:t>授课</w:t>
            </w:r>
            <w:r>
              <w:rPr>
                <w:rFonts w:hint="eastAsia" w:ascii="宋体" w:hAnsi="宋体" w:eastAsia="宋体" w:cs="宋体"/>
                <w:color w:val="auto"/>
                <w:sz w:val="21"/>
                <w:szCs w:val="21"/>
                <w:highlight w:val="none"/>
              </w:rPr>
              <w:t>教室。</w:t>
            </w:r>
          </w:p>
        </w:tc>
        <w:tc>
          <w:tcPr>
            <w:tcW w:w="750" w:type="dxa"/>
            <w:noWrap w:val="0"/>
            <w:vAlign w:val="center"/>
          </w:tcPr>
          <w:p w14:paraId="116DDCD3">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795" w:type="dxa"/>
            <w:noWrap w:val="0"/>
            <w:vAlign w:val="center"/>
          </w:tcPr>
          <w:p w14:paraId="3F3579D3">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w:t>
            </w:r>
          </w:p>
        </w:tc>
        <w:tc>
          <w:tcPr>
            <w:tcW w:w="1349" w:type="dxa"/>
            <w:noWrap w:val="0"/>
            <w:vAlign w:val="center"/>
          </w:tcPr>
          <w:p w14:paraId="12AA30BB">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软件和信息技术服务业</w:t>
            </w:r>
          </w:p>
        </w:tc>
      </w:tr>
      <w:tr w14:paraId="73D5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2E1E31C1">
            <w:pPr>
              <w:ind w:right="47"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w:t>
            </w:r>
          </w:p>
        </w:tc>
        <w:tc>
          <w:tcPr>
            <w:tcW w:w="945" w:type="dxa"/>
            <w:noWrap w:val="0"/>
            <w:vAlign w:val="center"/>
          </w:tcPr>
          <w:p w14:paraId="2E5CB9DC">
            <w:pPr>
              <w:ind w:left="-21" w:leftChars="-10" w:right="45"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物联网能耗监控通断终端</w:t>
            </w:r>
          </w:p>
        </w:tc>
        <w:tc>
          <w:tcPr>
            <w:tcW w:w="5571" w:type="dxa"/>
            <w:noWrap w:val="0"/>
            <w:vAlign w:val="center"/>
          </w:tcPr>
          <w:p w14:paraId="0F0AB7BA">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1.空开断路器，配合物联网能耗监控终端、总控物联网无线控制器可实现与物联网平台的互相联动，包括数据回传及策略控制</w:t>
            </w:r>
            <w:r>
              <w:rPr>
                <w:rFonts w:hint="eastAsia" w:ascii="宋体" w:hAnsi="宋体" w:eastAsia="宋体" w:cs="宋体"/>
                <w:color w:val="auto"/>
                <w:sz w:val="21"/>
                <w:szCs w:val="21"/>
                <w:highlight w:val="none"/>
                <w:lang w:eastAsia="zh-CN"/>
              </w:rPr>
              <w:t>。</w:t>
            </w:r>
          </w:p>
          <w:p w14:paraId="170EDDDC">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2.断路器环境规格：4P，额定不低于63A</w:t>
            </w:r>
            <w:r>
              <w:rPr>
                <w:rFonts w:hint="eastAsia" w:ascii="宋体" w:hAnsi="宋体" w:eastAsia="宋体" w:cs="宋体"/>
                <w:color w:val="auto"/>
                <w:sz w:val="21"/>
                <w:szCs w:val="21"/>
                <w:highlight w:val="none"/>
                <w:lang w:eastAsia="zh-CN"/>
              </w:rPr>
              <w:t>。</w:t>
            </w:r>
          </w:p>
          <w:p w14:paraId="322A987B">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3.支持短路保护，高等级灭弧材质，优良灭弧结构。</w:t>
            </w:r>
          </w:p>
          <w:p w14:paraId="4584C8B9">
            <w:pPr>
              <w:ind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4.具有漏电保护功能。</w:t>
            </w:r>
          </w:p>
          <w:p w14:paraId="41B28518">
            <w:pPr>
              <w:ind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5.支持过载过流保护、过压保护、打火断电保护、欠压保护等功能</w:t>
            </w:r>
            <w:r>
              <w:rPr>
                <w:rFonts w:hint="eastAsia" w:ascii="宋体" w:hAnsi="宋体" w:eastAsia="宋体" w:cs="宋体"/>
                <w:color w:val="auto"/>
                <w:sz w:val="21"/>
                <w:szCs w:val="21"/>
                <w:highlight w:val="none"/>
                <w:lang w:eastAsia="zh-CN"/>
              </w:rPr>
              <w:t>。</w:t>
            </w:r>
          </w:p>
          <w:p w14:paraId="24CB00F8">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6.用电量统计，用电大数据对比分析</w:t>
            </w:r>
            <w:r>
              <w:rPr>
                <w:rFonts w:hint="eastAsia" w:ascii="宋体" w:hAnsi="宋体" w:eastAsia="宋体" w:cs="宋体"/>
                <w:color w:val="auto"/>
                <w:sz w:val="21"/>
                <w:szCs w:val="21"/>
                <w:highlight w:val="none"/>
                <w:lang w:eastAsia="zh-CN"/>
              </w:rPr>
              <w:t>。</w:t>
            </w:r>
          </w:p>
          <w:p w14:paraId="7CF3E60F">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7.功率限定：超过指定功率时自动断电</w:t>
            </w:r>
            <w:r>
              <w:rPr>
                <w:rFonts w:hint="eastAsia" w:ascii="宋体" w:hAnsi="宋体" w:eastAsia="宋体" w:cs="宋体"/>
                <w:color w:val="auto"/>
                <w:sz w:val="21"/>
                <w:szCs w:val="21"/>
                <w:highlight w:val="none"/>
                <w:lang w:eastAsia="zh-CN"/>
              </w:rPr>
              <w:t>。</w:t>
            </w:r>
          </w:p>
          <w:p w14:paraId="766C522D">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8.用电故障或者检测记录</w:t>
            </w:r>
            <w:r>
              <w:rPr>
                <w:rFonts w:hint="eastAsia" w:ascii="宋体" w:hAnsi="宋体" w:eastAsia="宋体" w:cs="宋体"/>
                <w:color w:val="auto"/>
                <w:sz w:val="21"/>
                <w:szCs w:val="21"/>
                <w:highlight w:val="none"/>
                <w:lang w:eastAsia="zh-CN"/>
              </w:rPr>
              <w:t>。</w:t>
            </w:r>
          </w:p>
          <w:p w14:paraId="4F4939A0">
            <w:pPr>
              <w:ind w:left="-21" w:leftChars="-10" w:right="45"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9.支持本地电动控制、本地手动推杆</w:t>
            </w:r>
            <w:r>
              <w:rPr>
                <w:rFonts w:hint="eastAsia" w:ascii="宋体" w:hAnsi="宋体" w:eastAsia="宋体" w:cs="宋体"/>
                <w:color w:val="auto"/>
                <w:sz w:val="21"/>
                <w:szCs w:val="21"/>
                <w:highlight w:val="none"/>
                <w:lang w:eastAsia="zh-CN"/>
              </w:rPr>
              <w:t>。</w:t>
            </w:r>
          </w:p>
        </w:tc>
        <w:tc>
          <w:tcPr>
            <w:tcW w:w="750" w:type="dxa"/>
            <w:noWrap w:val="0"/>
            <w:vAlign w:val="center"/>
          </w:tcPr>
          <w:p w14:paraId="42C4B47F">
            <w:pPr>
              <w:ind w:left="-21" w:leftChars="-10" w:right="45"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290</w:t>
            </w:r>
          </w:p>
        </w:tc>
        <w:tc>
          <w:tcPr>
            <w:tcW w:w="795" w:type="dxa"/>
            <w:noWrap w:val="0"/>
            <w:vAlign w:val="center"/>
          </w:tcPr>
          <w:p w14:paraId="2B6BF95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349" w:type="dxa"/>
            <w:noWrap w:val="0"/>
            <w:vAlign w:val="center"/>
          </w:tcPr>
          <w:p w14:paraId="50CB335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p>
        </w:tc>
      </w:tr>
      <w:tr w14:paraId="6033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3DC3002A">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10</w:t>
            </w:r>
          </w:p>
        </w:tc>
        <w:tc>
          <w:tcPr>
            <w:tcW w:w="945" w:type="dxa"/>
            <w:noWrap w:val="0"/>
            <w:vAlign w:val="center"/>
          </w:tcPr>
          <w:p w14:paraId="2903D9C3">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总控物联网无线控制器</w:t>
            </w:r>
            <w:r>
              <w:rPr>
                <w:rFonts w:hint="eastAsia" w:ascii="宋体" w:hAnsi="宋体" w:eastAsia="宋体" w:cs="宋体"/>
                <w:b/>
                <w:bCs/>
                <w:color w:val="auto"/>
                <w:sz w:val="21"/>
                <w:szCs w:val="21"/>
                <w:highlight w:val="none"/>
                <w:lang w:eastAsia="zh-CN"/>
              </w:rPr>
              <w:t>（核心产品）</w:t>
            </w:r>
          </w:p>
        </w:tc>
        <w:tc>
          <w:tcPr>
            <w:tcW w:w="5571" w:type="dxa"/>
            <w:noWrap w:val="0"/>
            <w:vAlign w:val="center"/>
          </w:tcPr>
          <w:p w14:paraId="68E205B5">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1.支持接入能耗监控通断终端、无线通断终端、空调红外控制器、温湿度传感器、人体探测终端传感器、智能开关、智能门锁等传感器设备。</w:t>
            </w:r>
          </w:p>
          <w:p w14:paraId="72A64C21">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2.拥有丰富的传感器库，便于整体场景的传感器扩容，可兼容多类不同厂家的传感器，如水表、电表、漏水监测传感器、UPS电池监测传感器等。</w:t>
            </w:r>
          </w:p>
          <w:p w14:paraId="7469196D">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3.支持对接用电安全系统、空间节能系统、环境系统、消防系统、动力系统、门禁系统，实现联动策略。</w:t>
            </w:r>
          </w:p>
          <w:p w14:paraId="20E7AD6D">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4.支持对本次采购的物联网设备的统一管理</w:t>
            </w:r>
            <w:r>
              <w:rPr>
                <w:rFonts w:hint="eastAsia" w:ascii="宋体" w:hAnsi="宋体" w:eastAsia="宋体" w:cs="宋体"/>
                <w:color w:val="auto"/>
                <w:sz w:val="21"/>
                <w:szCs w:val="21"/>
                <w:highlight w:val="none"/>
                <w:lang w:eastAsia="zh-CN"/>
              </w:rPr>
              <w:t>。</w:t>
            </w:r>
          </w:p>
          <w:p w14:paraId="73F5D08D">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5.支持多种传感器设备联动策略配置，比如人体探测终端联动空调控制终端进行空调的开关，实现高效节能</w:t>
            </w:r>
            <w:r>
              <w:rPr>
                <w:rFonts w:hint="eastAsia" w:ascii="宋体" w:hAnsi="宋体" w:eastAsia="宋体" w:cs="宋体"/>
                <w:color w:val="auto"/>
                <w:sz w:val="21"/>
                <w:szCs w:val="21"/>
                <w:highlight w:val="none"/>
                <w:lang w:eastAsia="zh-CN"/>
              </w:rPr>
              <w:t>。</w:t>
            </w:r>
          </w:p>
          <w:p w14:paraId="3DD72CA1">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6.支持多维度的策略控制，包括时间计划、数据状态改变、设备上下线等维度进行控制</w:t>
            </w:r>
            <w:r>
              <w:rPr>
                <w:rFonts w:hint="eastAsia" w:ascii="宋体" w:hAnsi="宋体" w:eastAsia="宋体" w:cs="宋体"/>
                <w:color w:val="auto"/>
                <w:sz w:val="21"/>
                <w:szCs w:val="21"/>
                <w:highlight w:val="none"/>
                <w:lang w:eastAsia="zh-CN"/>
              </w:rPr>
              <w:t>。</w:t>
            </w:r>
          </w:p>
          <w:p w14:paraId="3384C4FD">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7.支持根据时间计划每次、每天、每周、每月进行策略控制，比如控制每周一和周五策略执行；支持与课表对接，实现按照课表进行策略控制</w:t>
            </w:r>
            <w:r>
              <w:rPr>
                <w:rFonts w:hint="eastAsia" w:ascii="宋体" w:hAnsi="宋体" w:eastAsia="宋体" w:cs="宋体"/>
                <w:color w:val="auto"/>
                <w:sz w:val="21"/>
                <w:szCs w:val="21"/>
                <w:highlight w:val="none"/>
                <w:lang w:eastAsia="zh-CN"/>
              </w:rPr>
              <w:t>。</w:t>
            </w:r>
          </w:p>
          <w:p w14:paraId="1F91F946">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8.支持根据数据状态改变进行策略控制，记录并存储设备原始数据报告，比如插座的功率、电压、电流等。</w:t>
            </w:r>
          </w:p>
          <w:p w14:paraId="7C8AC08B">
            <w:pPr>
              <w:ind w:left="-21" w:leftChars="-10" w:right="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9.支持用电排行分析，可按终端类别分组进行电量排行分析，可视化查看不同区域耗电量对比情况</w:t>
            </w:r>
            <w:bookmarkStart w:id="15" w:name="OLE_LINK10"/>
            <w:r>
              <w:rPr>
                <w:rFonts w:hint="eastAsia" w:ascii="宋体" w:hAnsi="宋体" w:eastAsia="宋体" w:cs="宋体"/>
                <w:color w:val="auto"/>
                <w:sz w:val="21"/>
                <w:szCs w:val="21"/>
                <w:highlight w:val="none"/>
                <w:lang w:eastAsia="zh-CN"/>
              </w:rPr>
              <w:t>。</w:t>
            </w:r>
            <w:bookmarkEnd w:id="15"/>
          </w:p>
          <w:p w14:paraId="6406DB96">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10.支持电量趋势分析，可设定范围时间，可视化看到历史能耗分析</w:t>
            </w:r>
            <w:r>
              <w:rPr>
                <w:rFonts w:hint="eastAsia" w:ascii="宋体" w:hAnsi="宋体" w:eastAsia="宋体" w:cs="宋体"/>
                <w:color w:val="auto"/>
                <w:sz w:val="21"/>
                <w:szCs w:val="21"/>
                <w:highlight w:val="none"/>
                <w:lang w:eastAsia="zh-CN"/>
              </w:rPr>
              <w:t>。</w:t>
            </w:r>
          </w:p>
          <w:p w14:paraId="55EB96D8">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11.无线控制器和终端传感器设备之间需要安全保障机制</w:t>
            </w:r>
            <w:r>
              <w:rPr>
                <w:rFonts w:hint="eastAsia" w:ascii="宋体" w:hAnsi="宋体" w:eastAsia="宋体" w:cs="宋体"/>
                <w:color w:val="auto"/>
                <w:sz w:val="21"/>
                <w:szCs w:val="21"/>
                <w:highlight w:val="none"/>
                <w:lang w:eastAsia="zh-CN"/>
              </w:rPr>
              <w:t>。</w:t>
            </w:r>
          </w:p>
          <w:p w14:paraId="366366BF">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12.支持管理员账号防暴力破解，防止账号被盗</w:t>
            </w:r>
            <w:r>
              <w:rPr>
                <w:rFonts w:hint="eastAsia" w:ascii="宋体" w:hAnsi="宋体" w:eastAsia="宋体" w:cs="宋体"/>
                <w:color w:val="auto"/>
                <w:sz w:val="21"/>
                <w:szCs w:val="21"/>
                <w:highlight w:val="none"/>
                <w:lang w:eastAsia="zh-CN"/>
              </w:rPr>
              <w:t>。</w:t>
            </w:r>
          </w:p>
          <w:p w14:paraId="2569BFB7">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13.支持物联网告警系统巡检，可直观展示各场景告警监控状态、日历式展示告警内容及告警处理、告警效率分析。</w:t>
            </w:r>
          </w:p>
          <w:p w14:paraId="11660EBB">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14.支持子系统告警选项灵活调用，联动摄像头现场抓拍，启动异常巡检任务，出现异常情况时，支持短信、电话、APP告警</w:t>
            </w:r>
            <w:r>
              <w:rPr>
                <w:rFonts w:hint="eastAsia" w:ascii="宋体" w:hAnsi="宋体" w:eastAsia="宋体" w:cs="宋体"/>
                <w:color w:val="auto"/>
                <w:sz w:val="21"/>
                <w:szCs w:val="21"/>
                <w:highlight w:val="none"/>
                <w:lang w:eastAsia="zh-CN"/>
              </w:rPr>
              <w:t>。</w:t>
            </w:r>
          </w:p>
          <w:p w14:paraId="2CBD82F3">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15.支持个性化设置，总控物联网无线控制器相关软件可以对顶部LOGO、浏览器标题、背景图片、底部信息能个性化设置修改，同时开第三方API接口，便于二次开发。</w:t>
            </w:r>
          </w:p>
          <w:p w14:paraId="53588AA5">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16.支持对接入传感器进行统一管理，包括统一策略配置、统一运行状态查看、统一数据分析。</w:t>
            </w:r>
          </w:p>
          <w:p w14:paraId="7C21C59F">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17.支持易部署上线，可以通过导入传感器设备的序列号或校验码，传感器无需任何配置即可发现总控物联网无线控制器</w:t>
            </w:r>
            <w:r>
              <w:rPr>
                <w:rFonts w:hint="eastAsia" w:ascii="宋体" w:hAnsi="宋体" w:eastAsia="宋体" w:cs="宋体"/>
                <w:color w:val="auto"/>
                <w:sz w:val="21"/>
                <w:szCs w:val="21"/>
                <w:highlight w:val="none"/>
                <w:lang w:eastAsia="zh-CN"/>
              </w:rPr>
              <w:t>。</w:t>
            </w:r>
          </w:p>
          <w:p w14:paraId="2950162F">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18.支持移动APP运维，通过手机APP即可进行空间查看、场景情景策略一键执行、设备远程管理与控制、数据分析查看、巡检任务、空间异常告警提醒与确认处理，简化运维工作量。</w:t>
            </w:r>
          </w:p>
          <w:p w14:paraId="125B808F">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19.支持巡检策略设定，记录并存储巡检报告，比如平台定时对全部设备进行巡检，及时发现异常设备，消除隐患，提供截图证明</w:t>
            </w:r>
            <w:r>
              <w:rPr>
                <w:rFonts w:hint="eastAsia" w:ascii="宋体" w:hAnsi="宋体" w:eastAsia="宋体" w:cs="宋体"/>
                <w:color w:val="auto"/>
                <w:sz w:val="21"/>
                <w:szCs w:val="21"/>
                <w:highlight w:val="none"/>
                <w:lang w:eastAsia="zh-CN"/>
              </w:rPr>
              <w:t>。</w:t>
            </w:r>
          </w:p>
          <w:p w14:paraId="5192D51D">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20.支持管理员分权分级，不同的管理员拥有不同的管辖权限，方便平台的维护管理</w:t>
            </w:r>
            <w:r>
              <w:rPr>
                <w:rFonts w:hint="eastAsia" w:ascii="宋体" w:hAnsi="宋体" w:eastAsia="宋体" w:cs="宋体"/>
                <w:color w:val="auto"/>
                <w:sz w:val="21"/>
                <w:szCs w:val="21"/>
                <w:highlight w:val="none"/>
                <w:lang w:eastAsia="zh-CN"/>
              </w:rPr>
              <w:t>。</w:t>
            </w:r>
          </w:p>
          <w:p w14:paraId="754B205E">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21.大屏展示，直观向管理人员展示整体物联网设备运行状态，包括场景设备应用情况、用电安全、告警情况等信息，数据通过大屏直观呈现展示，亦可与本单位已建设的相关平台对接，实现管理可视化。</w:t>
            </w:r>
          </w:p>
          <w:p w14:paraId="546CEB3F">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22.具有向数字孪生建模提供设备状态和传感器数据的功能。</w:t>
            </w:r>
          </w:p>
          <w:p w14:paraId="0AA8E202">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23.为保障更好的</w:t>
            </w:r>
            <w:r>
              <w:rPr>
                <w:rFonts w:hint="eastAsia" w:ascii="宋体" w:hAnsi="宋体" w:eastAsia="宋体" w:cs="宋体"/>
                <w:color w:val="auto"/>
                <w:sz w:val="21"/>
                <w:szCs w:val="21"/>
                <w:highlight w:val="none"/>
                <w:lang w:val="en-US" w:eastAsia="zh-CN"/>
              </w:rPr>
              <w:t>物联连通</w:t>
            </w:r>
            <w:r>
              <w:rPr>
                <w:rFonts w:hint="eastAsia" w:ascii="宋体" w:hAnsi="宋体" w:eastAsia="宋体" w:cs="宋体"/>
                <w:color w:val="auto"/>
                <w:sz w:val="21"/>
                <w:szCs w:val="21"/>
                <w:highlight w:val="none"/>
              </w:rPr>
              <w:t>性、可靠稳定性，易于实施部署，支持ZigBee、433、LoRa通信协议。</w:t>
            </w:r>
          </w:p>
          <w:p w14:paraId="44F1DDD0">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24.内置天线包括但不限于2.4GHz天线、433MHz天线、LoRa天线。</w:t>
            </w:r>
          </w:p>
          <w:p w14:paraId="4FA3F150">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25.RJ45以太网口≥1个,物联网板卡可通过Mini-PCIe接口接入或集成在设备线路板上。</w:t>
            </w:r>
          </w:p>
          <w:p w14:paraId="2C7ECFB8">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26.支持IEEE标准的PoE供电和本地电源适配器供电两种方式。</w:t>
            </w:r>
          </w:p>
          <w:p w14:paraId="4602D156">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.工作环境：工作温度0~45℃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工作湿度（非凝结）：10%~95%</w:t>
            </w:r>
            <w:r>
              <w:rPr>
                <w:rFonts w:hint="eastAsia" w:ascii="宋体" w:hAnsi="宋体" w:eastAsia="宋体" w:cs="宋体"/>
                <w:color w:val="auto"/>
                <w:sz w:val="21"/>
                <w:szCs w:val="21"/>
                <w:highlight w:val="none"/>
                <w:lang w:eastAsia="zh-CN"/>
              </w:rPr>
              <w:t>。</w:t>
            </w:r>
          </w:p>
          <w:p w14:paraId="5B95DD43">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.整机最大接入传感器数量10个。</w:t>
            </w:r>
          </w:p>
          <w:p w14:paraId="5166A6D9">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.支持扩频因子的调节。</w:t>
            </w:r>
          </w:p>
          <w:p w14:paraId="515F7E37">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.设备需支持POE供电，通过无线方式与智能设备通讯。</w:t>
            </w:r>
          </w:p>
          <w:p w14:paraId="273794D8">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.定时操作：可在系统内设置定时时间及操作，在相应时间，智能终端集中管理器可实现定时控制设备，支持控制设备开启、关闭等。</w:t>
            </w:r>
          </w:p>
        </w:tc>
        <w:tc>
          <w:tcPr>
            <w:tcW w:w="750" w:type="dxa"/>
            <w:noWrap w:val="0"/>
            <w:vAlign w:val="center"/>
          </w:tcPr>
          <w:p w14:paraId="3AE0D84F">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325</w:t>
            </w:r>
          </w:p>
        </w:tc>
        <w:tc>
          <w:tcPr>
            <w:tcW w:w="795" w:type="dxa"/>
            <w:noWrap w:val="0"/>
            <w:vAlign w:val="center"/>
          </w:tcPr>
          <w:p w14:paraId="37D17182">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台</w:t>
            </w:r>
          </w:p>
        </w:tc>
        <w:tc>
          <w:tcPr>
            <w:tcW w:w="1349" w:type="dxa"/>
            <w:noWrap w:val="0"/>
            <w:vAlign w:val="center"/>
          </w:tcPr>
          <w:p w14:paraId="17D3A7B0">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6436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5444D34A">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11</w:t>
            </w:r>
          </w:p>
        </w:tc>
        <w:tc>
          <w:tcPr>
            <w:tcW w:w="945" w:type="dxa"/>
            <w:noWrap w:val="0"/>
            <w:vAlign w:val="center"/>
          </w:tcPr>
          <w:p w14:paraId="50216A83">
            <w:pPr>
              <w:ind w:left="-21" w:leftChars="-10" w:right="4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空调控制终端</w:t>
            </w:r>
          </w:p>
        </w:tc>
        <w:tc>
          <w:tcPr>
            <w:tcW w:w="5571" w:type="dxa"/>
            <w:noWrap w:val="0"/>
            <w:vAlign w:val="center"/>
          </w:tcPr>
          <w:p w14:paraId="3B42A1C2">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1.支持远程遥控立柜空调、壁挂空调、多联机空调、电视机、电视机顶盒、投影仪、幕布、音响、空气净化器、风扇、智能灯等常见的红外电器设备。</w:t>
            </w:r>
          </w:p>
          <w:p w14:paraId="22163604">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2.支持Zigbee通信协议，支持学习和控制红外终端。</w:t>
            </w:r>
          </w:p>
          <w:p w14:paraId="28BFB1F7">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3.红外频率38KHz标准NEC协议，内置红外接收管。</w:t>
            </w:r>
          </w:p>
          <w:p w14:paraId="63B6D749">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4.红外直线距离不低于5米，支持市面90%以上的红外终端，支持90°发射。</w:t>
            </w:r>
          </w:p>
          <w:p w14:paraId="760B0484">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5.考虑现场环境的复杂性，标配红外延长线来提高遥控稳定性，并实现1对多控制。</w:t>
            </w:r>
          </w:p>
          <w:p w14:paraId="66496047">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6.自带电流互感器，支持对电器工作状态进行检测</w:t>
            </w:r>
            <w:r>
              <w:rPr>
                <w:rFonts w:hint="eastAsia" w:ascii="宋体" w:hAnsi="宋体" w:eastAsia="宋体" w:cs="宋体"/>
                <w:color w:val="auto"/>
                <w:sz w:val="21"/>
                <w:szCs w:val="21"/>
                <w:highlight w:val="none"/>
                <w:lang w:eastAsia="zh-CN"/>
              </w:rPr>
              <w:t>。</w:t>
            </w:r>
          </w:p>
          <w:p w14:paraId="33AEE890">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.工作环境：工作温度0~45℃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工作湿度（非凝结）：10%~95%</w:t>
            </w:r>
            <w:r>
              <w:rPr>
                <w:rFonts w:hint="eastAsia" w:ascii="宋体" w:hAnsi="宋体" w:eastAsia="宋体" w:cs="宋体"/>
                <w:color w:val="auto"/>
                <w:sz w:val="21"/>
                <w:szCs w:val="21"/>
                <w:highlight w:val="none"/>
                <w:lang w:eastAsia="zh-CN"/>
              </w:rPr>
              <w:t>。</w:t>
            </w:r>
          </w:p>
          <w:p w14:paraId="2A4D39B3">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.为保障更好的联动性，支持与物联网平台、传感器实现联动效果，</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人体探测</w:t>
            </w:r>
            <w:r>
              <w:rPr>
                <w:rFonts w:hint="eastAsia" w:ascii="宋体" w:hAnsi="宋体" w:eastAsia="宋体" w:cs="宋体"/>
                <w:color w:val="auto"/>
                <w:sz w:val="21"/>
                <w:szCs w:val="21"/>
                <w:highlight w:val="none"/>
                <w:lang w:val="en-US" w:eastAsia="zh-CN"/>
              </w:rPr>
              <w:t>功能，当</w:t>
            </w:r>
            <w:r>
              <w:rPr>
                <w:rFonts w:hint="eastAsia" w:ascii="宋体" w:hAnsi="宋体" w:eastAsia="宋体" w:cs="宋体"/>
                <w:color w:val="auto"/>
                <w:sz w:val="21"/>
                <w:szCs w:val="21"/>
                <w:highlight w:val="none"/>
              </w:rPr>
              <w:t>检测</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到人体</w:t>
            </w:r>
            <w:r>
              <w:rPr>
                <w:rFonts w:hint="eastAsia" w:ascii="宋体" w:hAnsi="宋体" w:eastAsia="宋体" w:cs="宋体"/>
                <w:color w:val="auto"/>
                <w:sz w:val="21"/>
                <w:szCs w:val="21"/>
                <w:highlight w:val="none"/>
                <w:lang w:val="en-US" w:eastAsia="zh-CN"/>
              </w:rPr>
              <w:t>时可</w:t>
            </w:r>
            <w:r>
              <w:rPr>
                <w:rFonts w:hint="eastAsia" w:ascii="宋体" w:hAnsi="宋体" w:eastAsia="宋体" w:cs="宋体"/>
                <w:color w:val="auto"/>
                <w:sz w:val="21"/>
                <w:szCs w:val="21"/>
                <w:highlight w:val="none"/>
              </w:rPr>
              <w:t>自动关闭实训室空调。</w:t>
            </w:r>
          </w:p>
        </w:tc>
        <w:tc>
          <w:tcPr>
            <w:tcW w:w="750" w:type="dxa"/>
            <w:noWrap w:val="0"/>
            <w:vAlign w:val="center"/>
          </w:tcPr>
          <w:p w14:paraId="73B867C4">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580</w:t>
            </w:r>
          </w:p>
        </w:tc>
        <w:tc>
          <w:tcPr>
            <w:tcW w:w="795" w:type="dxa"/>
            <w:noWrap w:val="0"/>
            <w:vAlign w:val="center"/>
          </w:tcPr>
          <w:p w14:paraId="3154C471">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1349" w:type="dxa"/>
            <w:noWrap w:val="0"/>
            <w:vAlign w:val="center"/>
          </w:tcPr>
          <w:p w14:paraId="650CE361">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749E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432E6C20">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12</w:t>
            </w:r>
          </w:p>
        </w:tc>
        <w:tc>
          <w:tcPr>
            <w:tcW w:w="945" w:type="dxa"/>
            <w:noWrap w:val="0"/>
            <w:vAlign w:val="center"/>
          </w:tcPr>
          <w:p w14:paraId="5A48917A">
            <w:pPr>
              <w:ind w:left="-21" w:leftChars="-10" w:right="45"/>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人体探测终端</w:t>
            </w:r>
          </w:p>
        </w:tc>
        <w:tc>
          <w:tcPr>
            <w:tcW w:w="5571" w:type="dxa"/>
            <w:noWrap w:val="0"/>
            <w:vAlign w:val="center"/>
          </w:tcPr>
          <w:p w14:paraId="7A441CEB">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1.能精确检测移动、微动及呼吸信号，实现真正的存在探测</w:t>
            </w:r>
            <w:r>
              <w:rPr>
                <w:rFonts w:hint="eastAsia" w:ascii="宋体" w:hAnsi="宋体" w:eastAsia="宋体" w:cs="宋体"/>
                <w:color w:val="auto"/>
                <w:sz w:val="21"/>
                <w:szCs w:val="21"/>
                <w:highlight w:val="none"/>
                <w:lang w:eastAsia="zh-CN"/>
              </w:rPr>
              <w:t>。</w:t>
            </w:r>
          </w:p>
          <w:p w14:paraId="36CA88C0">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2.低阻抗天线设计，能有效抵抗5G，WiFi，蓝牙等各种无线信号干扰</w:t>
            </w:r>
            <w:r>
              <w:rPr>
                <w:rFonts w:hint="eastAsia" w:ascii="宋体" w:hAnsi="宋体" w:eastAsia="宋体" w:cs="宋体"/>
                <w:color w:val="auto"/>
                <w:sz w:val="21"/>
                <w:szCs w:val="21"/>
                <w:highlight w:val="none"/>
                <w:lang w:eastAsia="zh-CN"/>
              </w:rPr>
              <w:t>。</w:t>
            </w:r>
          </w:p>
          <w:p w14:paraId="173D5DE3">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3.吊顶内嵌式安装</w:t>
            </w:r>
            <w:r>
              <w:rPr>
                <w:rFonts w:hint="eastAsia" w:ascii="宋体" w:hAnsi="宋体" w:eastAsia="宋体" w:cs="宋体"/>
                <w:color w:val="auto"/>
                <w:sz w:val="21"/>
                <w:szCs w:val="21"/>
                <w:highlight w:val="none"/>
                <w:lang w:eastAsia="zh-CN"/>
              </w:rPr>
              <w:t>。</w:t>
            </w:r>
          </w:p>
          <w:p w14:paraId="2AC43099">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4.自动化运维：可实现教室、会议室等场景的有无人检测功能，物联平台能够根据有无人信息做场景联动，人来开灯、人走关灯，实现自动化管理，避免灯光、空调等资源的浪费</w:t>
            </w:r>
            <w:r>
              <w:rPr>
                <w:rFonts w:hint="eastAsia" w:ascii="宋体" w:hAnsi="宋体" w:eastAsia="宋体" w:cs="宋体"/>
                <w:color w:val="auto"/>
                <w:sz w:val="21"/>
                <w:szCs w:val="21"/>
                <w:highlight w:val="none"/>
                <w:lang w:eastAsia="zh-CN"/>
              </w:rPr>
              <w:t>。</w:t>
            </w:r>
          </w:p>
          <w:p w14:paraId="24C728F7">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5.感应距离：移动感应距离：不小于5m(0.3m/s速度)；微动探测距离：不小于4m；呼吸探测距离：不小于2m</w:t>
            </w:r>
            <w:r>
              <w:rPr>
                <w:rFonts w:hint="eastAsia" w:ascii="宋体" w:hAnsi="宋体" w:eastAsia="宋体" w:cs="宋体"/>
                <w:color w:val="auto"/>
                <w:sz w:val="21"/>
                <w:szCs w:val="21"/>
                <w:highlight w:val="none"/>
                <w:lang w:eastAsia="zh-CN"/>
              </w:rPr>
              <w:t>。</w:t>
            </w:r>
          </w:p>
          <w:p w14:paraId="29DD2D91">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6.工作环境：工作温度0~45℃</w:t>
            </w:r>
            <w:r>
              <w:rPr>
                <w:rFonts w:hint="eastAsia" w:ascii="宋体" w:hAnsi="宋体" w:eastAsia="宋体" w:cs="宋体"/>
                <w:color w:val="auto"/>
                <w:sz w:val="21"/>
                <w:szCs w:val="21"/>
                <w:highlight w:val="none"/>
                <w:lang w:eastAsia="zh-CN"/>
              </w:rPr>
              <w:t>。</w:t>
            </w:r>
          </w:p>
          <w:p w14:paraId="1F454B29">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7.产品支持ZigBee通信协议和物联网平台控制。</w:t>
            </w:r>
          </w:p>
        </w:tc>
        <w:tc>
          <w:tcPr>
            <w:tcW w:w="750" w:type="dxa"/>
            <w:noWrap w:val="0"/>
            <w:vAlign w:val="center"/>
          </w:tcPr>
          <w:p w14:paraId="6228F42E">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480</w:t>
            </w:r>
          </w:p>
        </w:tc>
        <w:tc>
          <w:tcPr>
            <w:tcW w:w="795" w:type="dxa"/>
            <w:noWrap w:val="0"/>
            <w:vAlign w:val="center"/>
          </w:tcPr>
          <w:p w14:paraId="02021F25">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1349" w:type="dxa"/>
            <w:noWrap w:val="0"/>
            <w:vAlign w:val="center"/>
          </w:tcPr>
          <w:p w14:paraId="1735CF76">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19A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6D9A6722">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13</w:t>
            </w:r>
          </w:p>
        </w:tc>
        <w:tc>
          <w:tcPr>
            <w:tcW w:w="945" w:type="dxa"/>
            <w:noWrap w:val="0"/>
            <w:vAlign w:val="center"/>
          </w:tcPr>
          <w:p w14:paraId="4AB42A0F">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物联网无线通断终端系统</w:t>
            </w:r>
          </w:p>
        </w:tc>
        <w:tc>
          <w:tcPr>
            <w:tcW w:w="5571" w:type="dxa"/>
            <w:noWrap w:val="0"/>
            <w:vAlign w:val="center"/>
          </w:tcPr>
          <w:p w14:paraId="6A724AF6">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1.负载：不低于2200W/10A</w:t>
            </w:r>
            <w:r>
              <w:rPr>
                <w:rFonts w:hint="eastAsia" w:ascii="宋体" w:hAnsi="宋体" w:eastAsia="宋体" w:cs="宋体"/>
                <w:color w:val="auto"/>
                <w:sz w:val="21"/>
                <w:szCs w:val="21"/>
                <w:highlight w:val="none"/>
                <w:lang w:eastAsia="zh-CN"/>
              </w:rPr>
              <w:t>。</w:t>
            </w:r>
          </w:p>
          <w:p w14:paraId="41FEA0FD">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2.材质：PC阻燃材料</w:t>
            </w:r>
            <w:r>
              <w:rPr>
                <w:rFonts w:hint="eastAsia" w:ascii="宋体" w:hAnsi="宋体" w:eastAsia="宋体" w:cs="宋体"/>
                <w:color w:val="auto"/>
                <w:sz w:val="21"/>
                <w:szCs w:val="21"/>
                <w:highlight w:val="none"/>
                <w:lang w:eastAsia="zh-CN"/>
              </w:rPr>
              <w:t>。</w:t>
            </w:r>
          </w:p>
          <w:p w14:paraId="2E7973A9">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3.类型：五孔</w:t>
            </w:r>
            <w:r>
              <w:rPr>
                <w:rFonts w:hint="eastAsia" w:ascii="宋体" w:hAnsi="宋体" w:eastAsia="宋体" w:cs="宋体"/>
                <w:color w:val="auto"/>
                <w:sz w:val="21"/>
                <w:szCs w:val="21"/>
                <w:highlight w:val="none"/>
                <w:lang w:eastAsia="zh-CN"/>
              </w:rPr>
              <w:t>。</w:t>
            </w:r>
          </w:p>
          <w:p w14:paraId="7FE9D7A6">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4.可通过总控物联网无线控制器控制该终端通断状态</w:t>
            </w:r>
            <w:r>
              <w:rPr>
                <w:rFonts w:hint="eastAsia" w:ascii="宋体" w:hAnsi="宋体" w:eastAsia="宋体" w:cs="宋体"/>
                <w:color w:val="auto"/>
                <w:sz w:val="21"/>
                <w:szCs w:val="21"/>
                <w:highlight w:val="none"/>
                <w:lang w:eastAsia="zh-CN"/>
              </w:rPr>
              <w:t>。</w:t>
            </w:r>
          </w:p>
          <w:p w14:paraId="21129452">
            <w:pPr>
              <w:ind w:left="-21" w:leftChars="-10"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5.通讯协议：支持无线通讯数据加密(设备和无线控制器分别设置相同通讯秘钥才能通讯)</w:t>
            </w:r>
            <w:r>
              <w:rPr>
                <w:rFonts w:hint="eastAsia" w:ascii="宋体" w:hAnsi="宋体" w:eastAsia="宋体" w:cs="宋体"/>
                <w:color w:val="auto"/>
                <w:sz w:val="21"/>
                <w:szCs w:val="21"/>
                <w:highlight w:val="none"/>
                <w:lang w:eastAsia="zh-CN"/>
              </w:rPr>
              <w:t>。</w:t>
            </w:r>
          </w:p>
          <w:p w14:paraId="2AB5DD0E">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6.支持用电计量分析，支持用电趋势分析，用电趋势对比分析。</w:t>
            </w:r>
          </w:p>
        </w:tc>
        <w:tc>
          <w:tcPr>
            <w:tcW w:w="750" w:type="dxa"/>
            <w:noWrap w:val="0"/>
            <w:vAlign w:val="center"/>
          </w:tcPr>
          <w:p w14:paraId="4139108C">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325</w:t>
            </w:r>
          </w:p>
        </w:tc>
        <w:tc>
          <w:tcPr>
            <w:tcW w:w="795" w:type="dxa"/>
            <w:noWrap w:val="0"/>
            <w:vAlign w:val="center"/>
          </w:tcPr>
          <w:p w14:paraId="412B3C2C">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1349" w:type="dxa"/>
            <w:noWrap w:val="0"/>
            <w:vAlign w:val="center"/>
          </w:tcPr>
          <w:p w14:paraId="4C74237C">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37BE7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73540681">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14</w:t>
            </w:r>
          </w:p>
        </w:tc>
        <w:tc>
          <w:tcPr>
            <w:tcW w:w="945" w:type="dxa"/>
            <w:noWrap w:val="0"/>
            <w:vAlign w:val="center"/>
          </w:tcPr>
          <w:p w14:paraId="3A9514E6">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物联网能耗监控终端</w:t>
            </w:r>
          </w:p>
        </w:tc>
        <w:tc>
          <w:tcPr>
            <w:tcW w:w="5571" w:type="dxa"/>
            <w:noWrap w:val="0"/>
            <w:vAlign w:val="center"/>
          </w:tcPr>
          <w:p w14:paraId="7A87B4AC">
            <w:pPr>
              <w:ind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1.安装方式：导轨式</w:t>
            </w:r>
            <w:r>
              <w:rPr>
                <w:rFonts w:hint="eastAsia" w:ascii="宋体" w:hAnsi="宋体" w:eastAsia="宋体" w:cs="宋体"/>
                <w:color w:val="auto"/>
                <w:sz w:val="21"/>
                <w:szCs w:val="21"/>
                <w:highlight w:val="none"/>
                <w:lang w:eastAsia="zh-CN"/>
              </w:rPr>
              <w:t>。</w:t>
            </w:r>
          </w:p>
          <w:p w14:paraId="0D916175">
            <w:pPr>
              <w:ind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2.有功计量：支持</w:t>
            </w:r>
            <w:r>
              <w:rPr>
                <w:rFonts w:hint="eastAsia" w:ascii="宋体" w:hAnsi="宋体" w:eastAsia="宋体" w:cs="宋体"/>
                <w:color w:val="auto"/>
                <w:sz w:val="21"/>
                <w:szCs w:val="21"/>
                <w:highlight w:val="none"/>
                <w:lang w:eastAsia="zh-CN"/>
              </w:rPr>
              <w:t>。</w:t>
            </w:r>
          </w:p>
          <w:p w14:paraId="3ED787B2">
            <w:pPr>
              <w:ind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3.无功计量：支持</w:t>
            </w:r>
            <w:r>
              <w:rPr>
                <w:rFonts w:hint="eastAsia" w:ascii="宋体" w:hAnsi="宋体" w:eastAsia="宋体" w:cs="宋体"/>
                <w:color w:val="auto"/>
                <w:sz w:val="21"/>
                <w:szCs w:val="21"/>
                <w:highlight w:val="none"/>
                <w:lang w:eastAsia="zh-CN"/>
              </w:rPr>
              <w:t>。</w:t>
            </w:r>
          </w:p>
          <w:p w14:paraId="62F4B190">
            <w:pPr>
              <w:ind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4.双向计量：支持</w:t>
            </w:r>
            <w:r>
              <w:rPr>
                <w:rFonts w:hint="eastAsia" w:ascii="宋体" w:hAnsi="宋体" w:eastAsia="宋体" w:cs="宋体"/>
                <w:color w:val="auto"/>
                <w:sz w:val="21"/>
                <w:szCs w:val="21"/>
                <w:highlight w:val="none"/>
                <w:lang w:eastAsia="zh-CN"/>
              </w:rPr>
              <w:t>。</w:t>
            </w:r>
          </w:p>
          <w:p w14:paraId="7110726D">
            <w:pPr>
              <w:ind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5.材质：阻燃</w:t>
            </w:r>
            <w:r>
              <w:rPr>
                <w:rFonts w:hint="eastAsia" w:ascii="宋体" w:hAnsi="宋体" w:eastAsia="宋体" w:cs="宋体"/>
                <w:color w:val="auto"/>
                <w:sz w:val="21"/>
                <w:szCs w:val="21"/>
                <w:highlight w:val="none"/>
                <w:lang w:eastAsia="zh-CN"/>
              </w:rPr>
              <w:t>。</w:t>
            </w:r>
          </w:p>
          <w:p w14:paraId="00C5A760">
            <w:pPr>
              <w:ind w:right="4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6.数据显示：电能、功率、电压、电流等</w:t>
            </w:r>
            <w:r>
              <w:rPr>
                <w:rFonts w:hint="eastAsia" w:ascii="宋体" w:hAnsi="宋体" w:eastAsia="宋体" w:cs="宋体"/>
                <w:color w:val="auto"/>
                <w:sz w:val="21"/>
                <w:szCs w:val="21"/>
                <w:highlight w:val="none"/>
                <w:lang w:eastAsia="zh-CN"/>
              </w:rPr>
              <w:t>。</w:t>
            </w:r>
          </w:p>
          <w:p w14:paraId="49FAC050">
            <w:pPr>
              <w:ind w:right="45"/>
              <w:rPr>
                <w:rFonts w:hint="eastAsia" w:ascii="宋体" w:hAnsi="宋体" w:eastAsia="宋体" w:cs="宋体"/>
                <w:color w:val="auto"/>
                <w:sz w:val="21"/>
                <w:szCs w:val="21"/>
                <w:highlight w:val="none"/>
                <w:lang w:eastAsia="zh-CN"/>
              </w:rPr>
            </w:pPr>
            <w:bookmarkStart w:id="16" w:name="OLE_LINK3"/>
            <w:r>
              <w:rPr>
                <w:rFonts w:hint="eastAsia" w:ascii="宋体" w:hAnsi="宋体" w:eastAsia="宋体" w:cs="宋体"/>
                <w:color w:val="auto"/>
                <w:sz w:val="21"/>
                <w:szCs w:val="21"/>
                <w:highlight w:val="none"/>
                <w:lang w:eastAsia="zh-CN"/>
              </w:rPr>
              <w:t>★</w:t>
            </w:r>
            <w:bookmarkEnd w:id="16"/>
            <w:r>
              <w:rPr>
                <w:rFonts w:hint="eastAsia" w:ascii="宋体" w:hAnsi="宋体" w:eastAsia="宋体" w:cs="宋体"/>
                <w:color w:val="auto"/>
                <w:sz w:val="21"/>
                <w:szCs w:val="21"/>
                <w:highlight w:val="none"/>
              </w:rPr>
              <w:t>7.数据回传：支持电能、功率、电压、电流等数据自动回传至系统</w:t>
            </w:r>
            <w:r>
              <w:rPr>
                <w:rFonts w:hint="eastAsia" w:ascii="宋体" w:hAnsi="宋体" w:eastAsia="宋体" w:cs="宋体"/>
                <w:color w:val="auto"/>
                <w:sz w:val="21"/>
                <w:szCs w:val="21"/>
                <w:highlight w:val="none"/>
                <w:lang w:eastAsia="zh-CN"/>
              </w:rPr>
              <w:t>。</w:t>
            </w:r>
          </w:p>
          <w:p w14:paraId="3469E195">
            <w:pPr>
              <w:ind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8.远程通断：支持。</w:t>
            </w:r>
          </w:p>
          <w:p w14:paraId="6596848F">
            <w:pPr>
              <w:ind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9.可通过无线方式将信号回传至总控物联网无线控制器;用于</w:t>
            </w:r>
            <w:bookmarkStart w:id="17" w:name="OLE_LINK7"/>
            <w:r>
              <w:rPr>
                <w:rFonts w:hint="eastAsia" w:ascii="宋体" w:hAnsi="宋体" w:eastAsia="宋体" w:cs="宋体"/>
                <w:color w:val="auto"/>
                <w:sz w:val="21"/>
                <w:szCs w:val="21"/>
                <w:highlight w:val="none"/>
                <w:lang w:val="en-US" w:eastAsia="zh-CN"/>
              </w:rPr>
              <w:t>致能楼</w:t>
            </w:r>
            <w:bookmarkEnd w:id="17"/>
            <w:r>
              <w:rPr>
                <w:rFonts w:hint="eastAsia" w:ascii="宋体" w:hAnsi="宋体" w:eastAsia="宋体" w:cs="宋体"/>
                <w:color w:val="auto"/>
                <w:sz w:val="21"/>
                <w:szCs w:val="21"/>
                <w:highlight w:val="none"/>
                <w:lang w:val="en-US" w:eastAsia="zh-CN"/>
              </w:rPr>
              <w:t>1-2楼</w:t>
            </w:r>
            <w:bookmarkStart w:id="18" w:name="OLE_LINK6"/>
            <w:r>
              <w:rPr>
                <w:rFonts w:hint="eastAsia" w:ascii="宋体" w:hAnsi="宋体" w:eastAsia="宋体" w:cs="宋体"/>
                <w:color w:val="auto"/>
                <w:sz w:val="21"/>
                <w:szCs w:val="21"/>
                <w:highlight w:val="none"/>
                <w:lang w:val="en-US" w:eastAsia="zh-CN"/>
              </w:rPr>
              <w:t>每层</w:t>
            </w:r>
            <w:bookmarkEnd w:id="18"/>
            <w:r>
              <w:rPr>
                <w:rFonts w:hint="eastAsia" w:ascii="宋体" w:hAnsi="宋体" w:eastAsia="宋体" w:cs="宋体"/>
                <w:color w:val="auto"/>
                <w:sz w:val="21"/>
                <w:szCs w:val="21"/>
                <w:highlight w:val="none"/>
                <w:lang w:val="en-US" w:eastAsia="zh-CN"/>
              </w:rPr>
              <w:t>，励志楼3</w:t>
            </w:r>
            <w:r>
              <w:rPr>
                <w:rFonts w:hint="eastAsia" w:ascii="宋体" w:hAnsi="宋体" w:eastAsia="宋体" w:cs="宋体"/>
                <w:color w:val="auto"/>
                <w:sz w:val="21"/>
                <w:szCs w:val="21"/>
                <w:highlight w:val="none"/>
              </w:rPr>
              <w:t>-4号楼每层，图书馆1、9层，综合楼2、3层，陶艺研究所实训室。</w:t>
            </w:r>
          </w:p>
        </w:tc>
        <w:tc>
          <w:tcPr>
            <w:tcW w:w="750" w:type="dxa"/>
            <w:noWrap w:val="0"/>
            <w:vAlign w:val="center"/>
          </w:tcPr>
          <w:p w14:paraId="78067879">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50</w:t>
            </w:r>
          </w:p>
        </w:tc>
        <w:tc>
          <w:tcPr>
            <w:tcW w:w="795" w:type="dxa"/>
            <w:noWrap w:val="0"/>
            <w:vAlign w:val="center"/>
          </w:tcPr>
          <w:p w14:paraId="2D66BE83">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个</w:t>
            </w:r>
          </w:p>
        </w:tc>
        <w:tc>
          <w:tcPr>
            <w:tcW w:w="1349" w:type="dxa"/>
            <w:noWrap w:val="0"/>
            <w:vAlign w:val="center"/>
          </w:tcPr>
          <w:p w14:paraId="4655F039">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r w14:paraId="34D9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5" w:type="dxa"/>
            <w:noWrap w:val="0"/>
            <w:vAlign w:val="center"/>
          </w:tcPr>
          <w:p w14:paraId="4F447F5B">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15</w:t>
            </w:r>
          </w:p>
        </w:tc>
        <w:tc>
          <w:tcPr>
            <w:tcW w:w="945" w:type="dxa"/>
            <w:noWrap w:val="0"/>
            <w:vAlign w:val="center"/>
          </w:tcPr>
          <w:p w14:paraId="653F31E9">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辅材、耗材及布线</w:t>
            </w:r>
          </w:p>
        </w:tc>
        <w:tc>
          <w:tcPr>
            <w:tcW w:w="5571" w:type="dxa"/>
            <w:noWrap w:val="0"/>
            <w:vAlign w:val="center"/>
          </w:tcPr>
          <w:p w14:paraId="055259CF">
            <w:pPr>
              <w:ind w:left="-21" w:leftChars="-10" w:right="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超五类双绞线、RJ45头、电源插排、PVC线槽、线卡等辅材，包含网络布线施工。</w:t>
            </w:r>
          </w:p>
          <w:p w14:paraId="19D8C5DA">
            <w:pPr>
              <w:ind w:right="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2.所有辅料满足该项目所有功能的实现，以及验收时的需求。</w:t>
            </w:r>
          </w:p>
          <w:p w14:paraId="1BBE2C4F">
            <w:pPr>
              <w:ind w:right="4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3.所有辅料、耗材、布线均需要符合国标。</w:t>
            </w:r>
          </w:p>
          <w:p w14:paraId="1993EC4D">
            <w:pPr>
              <w:ind w:left="-21" w:leftChars="-10" w:right="45" w:right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4.所有施工要保证美观。</w:t>
            </w:r>
          </w:p>
        </w:tc>
        <w:tc>
          <w:tcPr>
            <w:tcW w:w="750" w:type="dxa"/>
            <w:noWrap w:val="0"/>
            <w:vAlign w:val="center"/>
          </w:tcPr>
          <w:p w14:paraId="1AA0779E">
            <w:pPr>
              <w:ind w:left="-21" w:leftChars="-10" w:right="45"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1</w:t>
            </w:r>
          </w:p>
        </w:tc>
        <w:tc>
          <w:tcPr>
            <w:tcW w:w="795" w:type="dxa"/>
            <w:noWrap w:val="0"/>
            <w:vAlign w:val="center"/>
          </w:tcPr>
          <w:p w14:paraId="4D27BC9D">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项</w:t>
            </w:r>
          </w:p>
        </w:tc>
        <w:tc>
          <w:tcPr>
            <w:tcW w:w="1349" w:type="dxa"/>
            <w:noWrap w:val="0"/>
            <w:vAlign w:val="center"/>
          </w:tcPr>
          <w:p w14:paraId="554D79BA">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工业</w:t>
            </w:r>
          </w:p>
        </w:tc>
      </w:tr>
    </w:tbl>
    <w:p w14:paraId="167659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64776"/>
    <w:rsid w:val="00661709"/>
    <w:rsid w:val="1AB73573"/>
    <w:rsid w:val="270818CC"/>
    <w:rsid w:val="3B2A7138"/>
    <w:rsid w:val="402976EF"/>
    <w:rsid w:val="512371DD"/>
    <w:rsid w:val="51A60F32"/>
    <w:rsid w:val="5D1B3856"/>
    <w:rsid w:val="5F1D1922"/>
    <w:rsid w:val="6B1F0128"/>
    <w:rsid w:val="7A4A5E8D"/>
    <w:rsid w:val="7EC64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Times New Roman" w:hAnsi="Times New Roman" w:eastAsia="宋体" w:cs="Times New Roman"/>
      <w:b/>
      <w:bCs/>
      <w:kern w:val="44"/>
      <w:sz w:val="32"/>
      <w:szCs w:val="44"/>
    </w:rPr>
  </w:style>
  <w:style w:type="paragraph" w:styleId="3">
    <w:name w:val="heading 3"/>
    <w:basedOn w:val="1"/>
    <w:next w:val="1"/>
    <w:qFormat/>
    <w:uiPriority w:val="0"/>
    <w:pPr>
      <w:keepNext/>
      <w:keepLines/>
      <w:outlineLvl w:val="2"/>
    </w:pPr>
    <w:rPr>
      <w:rFonts w:ascii="Times New Roman" w:hAnsi="Times New Roman" w:eastAsia="仿宋" w:cs="Times New Roman"/>
      <w:b/>
      <w:bCs/>
      <w:kern w:val="0"/>
      <w:sz w:val="30"/>
      <w:szCs w:val="20"/>
      <w:lang w:val="zh-CN"/>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link w:val="9"/>
    <w:uiPriority w:val="0"/>
    <w:pPr>
      <w:jc w:val="left"/>
    </w:pPr>
    <w:rPr>
      <w:rFonts w:eastAsia="宋体" w:asciiTheme="minorAscii" w:hAnsiTheme="minorAscii"/>
      <w:sz w:val="32"/>
    </w:rPr>
  </w:style>
  <w:style w:type="paragraph" w:styleId="5">
    <w:name w:val="Title"/>
    <w:basedOn w:val="1"/>
    <w:next w:val="1"/>
    <w:qFormat/>
    <w:uiPriority w:val="0"/>
    <w:pPr>
      <w:widowControl/>
      <w:jc w:val="center"/>
      <w:outlineLvl w:val="0"/>
    </w:pPr>
    <w:rPr>
      <w:rFonts w:ascii="Cambria" w:hAnsi="Cambria" w:eastAsia="微软雅黑"/>
      <w:b/>
      <w:bCs/>
      <w:kern w:val="28"/>
      <w:sz w:val="44"/>
      <w:szCs w:val="20"/>
      <w:lang w:eastAsia="en-US" w:bidi="en-US"/>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批注文字 Char"/>
    <w:link w:val="4"/>
    <w:qFormat/>
    <w:uiPriority w:val="0"/>
    <w:rPr>
      <w:rFonts w:ascii="仿宋" w:hAnsi="仿宋" w:eastAsia="宋体" w:cs="仿宋"/>
      <w:sz w:val="21"/>
      <w:szCs w:val="22"/>
      <w:lang w:val="zh-CN" w:bidi="zh-CN"/>
    </w:rPr>
  </w:style>
  <w:style w:type="paragraph" w:customStyle="1" w:styleId="10">
    <w:name w:val="*正文"/>
    <w:basedOn w:val="1"/>
    <w:next w:val="1"/>
    <w:qFormat/>
    <w:uiPriority w:val="0"/>
    <w:pPr>
      <w:widowControl/>
      <w:ind w:firstLine="482"/>
    </w:pPr>
    <w:rPr>
      <w:rFonts w:ascii="微软雅黑" w:hAnsi="微软雅黑" w:eastAsia="微软雅黑"/>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2025-06-30T02:26:00Z</dcterms:created>
  <dc:creator>FF</dc:creator>
  <cp:lastModifiedBy>FF</cp:lastModifiedBy>
  <dcterms:modified xsi:type="dcterms:W3CDTF">2025-06-30T02:27:53Z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FB2E1D8B897D4E7A9F69E0AC4C0D7F1E_11</vt:lpwstr>
  </property>
  <property fmtid="{D5CDD505-2E9C-101B-9397-08002B2CF9AE}" pid="4" name="KSOTemplateDocerSaveRecord">
    <vt:lpwstr>eyJoZGlkIjoiMWZiYzQ2ZDY4NWM4M2FjYTIyZGE3OTEwZTUzYzgxN2IiLCJ1c2VySWQiOiI0Mzg1MzY0MTcifQ==</vt:lpwstr>
  </property>
</Properties>
</file>