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4F0F7">
      <w:pPr>
        <w:widowControl w:val="0"/>
        <w:snapToGrid w:val="0"/>
        <w:spacing w:line="560" w:lineRule="exact"/>
        <w:ind w:firstLine="241" w:firstLineChars="50"/>
        <w:rPr>
          <w:rFonts w:eastAsia="黑体"/>
          <w:b/>
          <w:color w:val="auto"/>
          <w:spacing w:val="40"/>
          <w:sz w:val="40"/>
          <w:szCs w:val="40"/>
          <w:highlight w:val="none"/>
        </w:rPr>
      </w:pPr>
    </w:p>
    <w:p w14:paraId="68FDB7DE">
      <w:pPr>
        <w:widowControl w:val="0"/>
        <w:snapToGrid w:val="0"/>
        <w:spacing w:line="560" w:lineRule="exact"/>
        <w:ind w:firstLine="241" w:firstLineChars="50"/>
        <w:jc w:val="center"/>
        <w:rPr>
          <w:rFonts w:eastAsia="黑体"/>
          <w:b/>
          <w:color w:val="auto"/>
          <w:spacing w:val="40"/>
          <w:sz w:val="40"/>
          <w:szCs w:val="40"/>
          <w:highlight w:val="none"/>
        </w:rPr>
      </w:pPr>
    </w:p>
    <w:p w14:paraId="20E3A2AD">
      <w:pPr>
        <w:widowControl w:val="0"/>
        <w:snapToGrid w:val="0"/>
        <w:spacing w:line="560" w:lineRule="exact"/>
        <w:ind w:firstLine="241" w:firstLineChars="50"/>
        <w:jc w:val="center"/>
        <w:rPr>
          <w:rFonts w:eastAsia="黑体"/>
          <w:b/>
          <w:color w:val="auto"/>
          <w:spacing w:val="40"/>
          <w:sz w:val="40"/>
          <w:szCs w:val="40"/>
          <w:highlight w:val="none"/>
        </w:rPr>
      </w:pPr>
    </w:p>
    <w:p w14:paraId="7F7A9268">
      <w:pPr>
        <w:widowControl w:val="0"/>
        <w:snapToGrid w:val="0"/>
        <w:spacing w:line="560" w:lineRule="exact"/>
        <w:ind w:firstLine="221" w:firstLineChars="50"/>
        <w:jc w:val="center"/>
        <w:rPr>
          <w:rFonts w:ascii="黑体" w:eastAsia="黑体"/>
          <w:b/>
          <w:color w:val="auto"/>
          <w:sz w:val="44"/>
          <w:szCs w:val="44"/>
          <w:highlight w:val="none"/>
        </w:rPr>
      </w:pPr>
      <w:r>
        <w:rPr>
          <w:rFonts w:hint="eastAsia" w:ascii="黑体" w:eastAsia="黑体"/>
          <w:b/>
          <w:color w:val="auto"/>
          <w:sz w:val="44"/>
          <w:szCs w:val="44"/>
          <w:highlight w:val="none"/>
        </w:rPr>
        <w:t>安阳殷墟世界文化遗产保护管理委员会</w:t>
      </w:r>
    </w:p>
    <w:p w14:paraId="051852F9">
      <w:pPr>
        <w:widowControl w:val="0"/>
        <w:snapToGrid w:val="0"/>
        <w:spacing w:line="560" w:lineRule="exact"/>
        <w:ind w:firstLine="221" w:firstLineChars="50"/>
        <w:jc w:val="center"/>
        <w:rPr>
          <w:rFonts w:ascii="黑体" w:eastAsia="黑体"/>
          <w:b/>
          <w:color w:val="auto"/>
          <w:sz w:val="44"/>
          <w:szCs w:val="44"/>
          <w:highlight w:val="none"/>
        </w:rPr>
      </w:pPr>
      <w:r>
        <w:rPr>
          <w:rFonts w:hint="eastAsia" w:ascii="黑体" w:eastAsia="黑体"/>
          <w:b/>
          <w:color w:val="auto"/>
          <w:sz w:val="44"/>
          <w:szCs w:val="44"/>
          <w:highlight w:val="none"/>
        </w:rPr>
        <w:t>安阳市殷墟遗址保护区智慧技术安全防范</w:t>
      </w:r>
    </w:p>
    <w:p w14:paraId="2504BDD8">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运行维护服务项目</w:t>
      </w:r>
    </w:p>
    <w:p w14:paraId="2F6D0940">
      <w:pPr>
        <w:widowControl w:val="0"/>
        <w:snapToGrid w:val="0"/>
        <w:spacing w:line="560" w:lineRule="exact"/>
        <w:ind w:firstLine="261" w:firstLineChars="50"/>
        <w:jc w:val="center"/>
        <w:rPr>
          <w:rFonts w:ascii="黑体" w:eastAsia="黑体"/>
          <w:b/>
          <w:color w:val="auto"/>
          <w:spacing w:val="40"/>
          <w:sz w:val="44"/>
          <w:szCs w:val="44"/>
          <w:highlight w:val="none"/>
        </w:rPr>
      </w:pPr>
    </w:p>
    <w:p w14:paraId="7C67FFC9">
      <w:pPr>
        <w:widowControl w:val="0"/>
        <w:snapToGrid w:val="0"/>
        <w:spacing w:before="240" w:beforeLines="100" w:line="560" w:lineRule="exact"/>
        <w:jc w:val="center"/>
        <w:rPr>
          <w:rFonts w:eastAsia="黑体"/>
          <w:b/>
          <w:color w:val="auto"/>
          <w:sz w:val="44"/>
          <w:highlight w:val="none"/>
        </w:rPr>
      </w:pPr>
    </w:p>
    <w:p w14:paraId="0DBFE49A">
      <w:pPr>
        <w:widowControl w:val="0"/>
        <w:snapToGrid w:val="0"/>
        <w:spacing w:before="240" w:beforeLines="100" w:line="240" w:lineRule="auto"/>
        <w:jc w:val="center"/>
        <w:rPr>
          <w:rFonts w:eastAsia="黑体"/>
          <w:b/>
          <w:color w:val="auto"/>
          <w:sz w:val="44"/>
          <w:highlight w:val="none"/>
        </w:rPr>
      </w:pPr>
    </w:p>
    <w:p w14:paraId="6189B985">
      <w:pPr>
        <w:widowControl w:val="0"/>
        <w:snapToGrid w:val="0"/>
        <w:spacing w:before="240" w:beforeLines="100" w:line="240" w:lineRule="auto"/>
        <w:jc w:val="center"/>
        <w:rPr>
          <w:rFonts w:eastAsia="黑体"/>
          <w:b/>
          <w:color w:val="auto"/>
          <w:sz w:val="44"/>
          <w:highlight w:val="none"/>
        </w:rPr>
      </w:pPr>
    </w:p>
    <w:p w14:paraId="25267C0C">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招</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50A0D1D3">
      <w:pPr>
        <w:widowControl w:val="0"/>
        <w:snapToGrid w:val="0"/>
        <w:spacing w:before="240" w:beforeLines="100" w:line="560" w:lineRule="exact"/>
        <w:jc w:val="center"/>
        <w:rPr>
          <w:rFonts w:eastAsia="黑体"/>
          <w:b/>
          <w:color w:val="auto"/>
          <w:sz w:val="30"/>
          <w:szCs w:val="30"/>
          <w:highlight w:val="none"/>
        </w:rPr>
      </w:pPr>
      <w:r>
        <w:rPr>
          <w:rFonts w:hint="eastAsia" w:ascii="宋体" w:hAnsi="宋体"/>
          <w:color w:val="auto"/>
          <w:sz w:val="32"/>
          <w:szCs w:val="32"/>
          <w:highlight w:val="none"/>
        </w:rPr>
        <w:t>项目编号：殷公开-2025-3</w:t>
      </w:r>
      <w:r>
        <w:rPr>
          <w:rFonts w:eastAsia="黑体"/>
          <w:b/>
          <w:color w:val="auto"/>
          <w:sz w:val="30"/>
          <w:szCs w:val="30"/>
          <w:highlight w:val="none"/>
        </w:rPr>
        <w:t xml:space="preserve"> </w:t>
      </w:r>
    </w:p>
    <w:p w14:paraId="6ED8309F">
      <w:pPr>
        <w:widowControl w:val="0"/>
        <w:snapToGrid w:val="0"/>
        <w:spacing w:before="240" w:beforeLines="100" w:line="560" w:lineRule="exact"/>
        <w:jc w:val="center"/>
        <w:rPr>
          <w:rFonts w:eastAsia="黑体"/>
          <w:b/>
          <w:color w:val="auto"/>
          <w:sz w:val="44"/>
          <w:highlight w:val="none"/>
        </w:rPr>
      </w:pPr>
    </w:p>
    <w:p w14:paraId="2A2004EE">
      <w:pPr>
        <w:widowControl w:val="0"/>
        <w:snapToGrid w:val="0"/>
        <w:spacing w:before="240" w:beforeLines="100" w:line="560" w:lineRule="exact"/>
        <w:jc w:val="center"/>
        <w:rPr>
          <w:rFonts w:eastAsia="黑体"/>
          <w:b/>
          <w:color w:val="auto"/>
          <w:sz w:val="44"/>
          <w:highlight w:val="none"/>
        </w:rPr>
      </w:pPr>
    </w:p>
    <w:p w14:paraId="00608BF0">
      <w:pPr>
        <w:widowControl w:val="0"/>
        <w:snapToGrid w:val="0"/>
        <w:spacing w:before="240" w:beforeLines="100" w:line="560" w:lineRule="exact"/>
        <w:rPr>
          <w:rFonts w:eastAsia="黑体"/>
          <w:b/>
          <w:color w:val="auto"/>
          <w:sz w:val="44"/>
          <w:highlight w:val="none"/>
        </w:rPr>
      </w:pPr>
    </w:p>
    <w:p w14:paraId="4E0DA10A">
      <w:pPr>
        <w:widowControl w:val="0"/>
        <w:snapToGrid w:val="0"/>
        <w:spacing w:before="240" w:beforeLines="100" w:line="560" w:lineRule="exact"/>
        <w:rPr>
          <w:rFonts w:eastAsia="黑体"/>
          <w:b/>
          <w:color w:val="auto"/>
          <w:sz w:val="44"/>
          <w:highlight w:val="none"/>
        </w:rPr>
      </w:pPr>
    </w:p>
    <w:p w14:paraId="26D9A89A">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采购人：安阳殷墟世界文化遗产保护管理委员会</w:t>
      </w:r>
    </w:p>
    <w:p w14:paraId="5CACDBBE">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390C8F9E">
      <w:pPr>
        <w:widowControl w:val="0"/>
        <w:snapToGrid w:val="0"/>
        <w:spacing w:line="660" w:lineRule="exact"/>
        <w:rPr>
          <w:rFonts w:ascii="黑体" w:hAnsi="黑体" w:eastAsia="黑体"/>
          <w:b/>
          <w:color w:val="auto"/>
          <w:sz w:val="36"/>
          <w:szCs w:val="36"/>
          <w:highlight w:val="none"/>
        </w:rPr>
      </w:pPr>
    </w:p>
    <w:p w14:paraId="0F82DA75">
      <w:pPr>
        <w:pStyle w:val="54"/>
        <w:jc w:val="center"/>
        <w:rPr>
          <w:rFonts w:ascii="黑体" w:hAnsi="黑体" w:eastAsia="黑体"/>
          <w:color w:val="auto"/>
          <w:sz w:val="36"/>
          <w:szCs w:val="36"/>
          <w:highlight w:val="none"/>
          <w:lang w:val="zh-CN"/>
        </w:rPr>
      </w:pPr>
      <w:r>
        <w:rPr>
          <w:rFonts w:hint="eastAsia" w:ascii="黑体" w:hAnsi="黑体" w:eastAsia="黑体"/>
          <w:color w:val="auto"/>
          <w:sz w:val="36"/>
          <w:szCs w:val="36"/>
          <w:highlight w:val="none"/>
          <w:lang w:val="zh-CN"/>
        </w:rPr>
        <w:t>目</w:t>
      </w:r>
      <w:r>
        <w:rPr>
          <w:rFonts w:ascii="黑体" w:hAnsi="黑体" w:eastAsia="黑体"/>
          <w:color w:val="auto"/>
          <w:sz w:val="36"/>
          <w:szCs w:val="36"/>
          <w:highlight w:val="none"/>
          <w:lang w:val="zh-CN"/>
        </w:rPr>
        <w:t xml:space="preserve"> </w:t>
      </w:r>
      <w:r>
        <w:rPr>
          <w:rFonts w:hint="eastAsia" w:ascii="黑体" w:hAnsi="黑体" w:eastAsia="黑体"/>
          <w:color w:val="auto"/>
          <w:sz w:val="36"/>
          <w:szCs w:val="36"/>
          <w:highlight w:val="none"/>
          <w:lang w:val="zh-CN"/>
        </w:rPr>
        <w:t>录</w:t>
      </w:r>
    </w:p>
    <w:p w14:paraId="3EB28CCE">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"_Toc186018357" </w:instrText>
      </w:r>
      <w:r>
        <w:rPr>
          <w:color w:val="auto"/>
          <w:highlight w:val="none"/>
        </w:rPr>
        <w:fldChar w:fldCharType="separate"/>
      </w:r>
      <w:r>
        <w:rPr>
          <w:rStyle w:val="23"/>
          <w:rFonts w:hint="eastAsia" w:eastAsia="黑体"/>
          <w:b/>
          <w:color w:val="auto"/>
          <w:highlight w:val="none"/>
        </w:rPr>
        <w:t>第一章</w:t>
      </w:r>
      <w:r>
        <w:rPr>
          <w:rStyle w:val="23"/>
          <w:rFonts w:eastAsia="黑体"/>
          <w:b/>
          <w:color w:val="auto"/>
          <w:highlight w:val="none"/>
        </w:rPr>
        <w:t xml:space="preserve">  </w:t>
      </w:r>
      <w:r>
        <w:rPr>
          <w:rStyle w:val="23"/>
          <w:rFonts w:hint="eastAsia" w:eastAsia="黑体"/>
          <w:b/>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_Toc186018357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974569D">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"_Toc186018358" </w:instrText>
      </w:r>
      <w:r>
        <w:rPr>
          <w:color w:val="auto"/>
          <w:highlight w:val="none"/>
        </w:rPr>
        <w:fldChar w:fldCharType="separate"/>
      </w:r>
      <w:r>
        <w:rPr>
          <w:rStyle w:val="23"/>
          <w:rFonts w:hint="eastAsia" w:eastAsia="黑体"/>
          <w:b/>
          <w:color w:val="auto"/>
          <w:highlight w:val="none"/>
        </w:rPr>
        <w:t>第二章</w:t>
      </w:r>
      <w:r>
        <w:rPr>
          <w:rStyle w:val="23"/>
          <w:rFonts w:eastAsia="黑体"/>
          <w:b/>
          <w:color w:val="auto"/>
          <w:highlight w:val="none"/>
        </w:rPr>
        <w:t xml:space="preserve">  </w:t>
      </w:r>
      <w:r>
        <w:rPr>
          <w:rStyle w:val="23"/>
          <w:rFonts w:hint="eastAsia" w:eastAsia="黑体"/>
          <w:b/>
          <w:color w:val="auto"/>
          <w:highlight w:val="none"/>
        </w:rPr>
        <w:t>招标项目要求及采购需求</w:t>
      </w:r>
      <w:r>
        <w:rPr>
          <w:color w:val="auto"/>
          <w:highlight w:val="none"/>
        </w:rPr>
        <w:tab/>
      </w:r>
      <w:r>
        <w:rPr>
          <w:color w:val="auto"/>
          <w:highlight w:val="none"/>
        </w:rPr>
        <w:fldChar w:fldCharType="begin"/>
      </w:r>
      <w:r>
        <w:rPr>
          <w:color w:val="auto"/>
          <w:highlight w:val="none"/>
        </w:rPr>
        <w:instrText xml:space="preserve"> PAGEREF _Toc186018358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D5480A6">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"_Toc186018359" </w:instrText>
      </w:r>
      <w:r>
        <w:rPr>
          <w:color w:val="auto"/>
          <w:highlight w:val="none"/>
        </w:rPr>
        <w:fldChar w:fldCharType="separate"/>
      </w:r>
      <w:r>
        <w:rPr>
          <w:rStyle w:val="23"/>
          <w:rFonts w:ascii="黑体" w:hAnsi="黑体" w:eastAsia="黑体"/>
          <w:b/>
          <w:color w:val="auto"/>
          <w:highlight w:val="none"/>
        </w:rPr>
        <w:t xml:space="preserve">1. </w:t>
      </w:r>
      <w:r>
        <w:rPr>
          <w:rStyle w:val="23"/>
          <w:rFonts w:hint="eastAsia" w:ascii="黑体" w:hAnsi="黑体" w:eastAsia="黑体"/>
          <w:b/>
          <w:color w:val="auto"/>
          <w:highlight w:val="none"/>
        </w:rPr>
        <w:t>招标项目、标段（包）划分、投标报价</w:t>
      </w:r>
      <w:r>
        <w:rPr>
          <w:color w:val="auto"/>
          <w:highlight w:val="none"/>
        </w:rPr>
        <w:tab/>
      </w:r>
      <w:r>
        <w:rPr>
          <w:color w:val="auto"/>
          <w:highlight w:val="none"/>
        </w:rPr>
        <w:fldChar w:fldCharType="begin"/>
      </w:r>
      <w:r>
        <w:rPr>
          <w:color w:val="auto"/>
          <w:highlight w:val="none"/>
        </w:rPr>
        <w:instrText xml:space="preserve"> PAGEREF _Toc186018359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CF519AF">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"_Toc186018360" </w:instrText>
      </w:r>
      <w:r>
        <w:rPr>
          <w:color w:val="auto"/>
          <w:highlight w:val="none"/>
        </w:rPr>
        <w:fldChar w:fldCharType="separate"/>
      </w:r>
      <w:r>
        <w:rPr>
          <w:rStyle w:val="23"/>
          <w:rFonts w:ascii="黑体" w:hAnsi="黑体" w:eastAsia="黑体"/>
          <w:b/>
          <w:color w:val="auto"/>
          <w:highlight w:val="none"/>
        </w:rPr>
        <w:t xml:space="preserve">2. </w:t>
      </w:r>
      <w:r>
        <w:rPr>
          <w:rStyle w:val="23"/>
          <w:rFonts w:hint="eastAsia" w:ascii="黑体" w:hAnsi="黑体" w:eastAsia="黑体"/>
          <w:b/>
          <w:color w:val="auto"/>
          <w:highlight w:val="none"/>
        </w:rPr>
        <w:t>标段（包）内容（范围）及具体采购需求</w:t>
      </w:r>
      <w:r>
        <w:rPr>
          <w:color w:val="auto"/>
          <w:highlight w:val="none"/>
        </w:rPr>
        <w:tab/>
      </w:r>
      <w:r>
        <w:rPr>
          <w:color w:val="auto"/>
          <w:highlight w:val="none"/>
        </w:rPr>
        <w:fldChar w:fldCharType="begin"/>
      </w:r>
      <w:r>
        <w:rPr>
          <w:color w:val="auto"/>
          <w:highlight w:val="none"/>
        </w:rPr>
        <w:instrText xml:space="preserve"> PAGEREF _Toc186018360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044F88A">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"_Toc186018361" </w:instrText>
      </w:r>
      <w:r>
        <w:rPr>
          <w:color w:val="auto"/>
          <w:highlight w:val="none"/>
        </w:rPr>
        <w:fldChar w:fldCharType="separate"/>
      </w:r>
      <w:r>
        <w:rPr>
          <w:rStyle w:val="23"/>
          <w:rFonts w:ascii="黑体" w:hAnsi="黑体" w:eastAsia="黑体"/>
          <w:b/>
          <w:color w:val="auto"/>
          <w:highlight w:val="none"/>
        </w:rPr>
        <w:t xml:space="preserve">3. </w:t>
      </w:r>
      <w:r>
        <w:rPr>
          <w:rStyle w:val="23"/>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_Toc186018361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B291AEF">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"_Toc186018362" </w:instrText>
      </w:r>
      <w:r>
        <w:rPr>
          <w:color w:val="auto"/>
          <w:highlight w:val="none"/>
        </w:rPr>
        <w:fldChar w:fldCharType="separate"/>
      </w:r>
      <w:r>
        <w:rPr>
          <w:rStyle w:val="23"/>
          <w:rFonts w:hint="eastAsia" w:eastAsia="黑体"/>
          <w:b/>
          <w:color w:val="auto"/>
          <w:highlight w:val="none"/>
        </w:rPr>
        <w:t>第三章</w:t>
      </w:r>
      <w:r>
        <w:rPr>
          <w:rStyle w:val="23"/>
          <w:rFonts w:eastAsia="黑体"/>
          <w:b/>
          <w:color w:val="auto"/>
          <w:highlight w:val="none"/>
        </w:rPr>
        <w:t xml:space="preserve">  </w:t>
      </w:r>
      <w:r>
        <w:rPr>
          <w:rStyle w:val="23"/>
          <w:rFonts w:hint="eastAsia" w:eastAsia="黑体"/>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_Toc186018362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95CCC82">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"_Toc186018363" </w:instrText>
      </w:r>
      <w:r>
        <w:rPr>
          <w:color w:val="auto"/>
          <w:highlight w:val="none"/>
        </w:rPr>
        <w:fldChar w:fldCharType="separate"/>
      </w:r>
      <w:r>
        <w:rPr>
          <w:rStyle w:val="23"/>
          <w:rFonts w:hint="eastAsia" w:eastAsia="黑体"/>
          <w:b/>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_Toc186018363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D647A2E">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"_Toc186018364" </w:instrText>
      </w:r>
      <w:r>
        <w:rPr>
          <w:color w:val="auto"/>
          <w:highlight w:val="none"/>
        </w:rPr>
        <w:fldChar w:fldCharType="separate"/>
      </w:r>
      <w:r>
        <w:rPr>
          <w:rStyle w:val="23"/>
          <w:rFonts w:ascii="黑体" w:hAnsi="黑体" w:eastAsia="黑体" w:cs="楷体_GB2312"/>
          <w:b/>
          <w:bCs/>
          <w:color w:val="auto"/>
          <w:highlight w:val="none"/>
          <w:lang w:val="zh-CN"/>
        </w:rPr>
        <w:t xml:space="preserve">1 </w:t>
      </w:r>
      <w:r>
        <w:rPr>
          <w:rStyle w:val="23"/>
          <w:rFonts w:hint="eastAsia" w:ascii="黑体" w:hAnsi="黑体" w:eastAsia="黑体" w:cs="楷体_GB2312"/>
          <w:b/>
          <w:bCs/>
          <w:color w:val="auto"/>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_Toc186018364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3D35337B">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"_Toc186018365" </w:instrText>
      </w:r>
      <w:r>
        <w:rPr>
          <w:color w:val="auto"/>
          <w:highlight w:val="none"/>
        </w:rPr>
        <w:fldChar w:fldCharType="separate"/>
      </w:r>
      <w:r>
        <w:rPr>
          <w:rStyle w:val="23"/>
          <w:rFonts w:ascii="黑体" w:hAnsi="黑体" w:eastAsia="黑体" w:cs="楷体_GB2312"/>
          <w:b/>
          <w:bCs/>
          <w:color w:val="auto"/>
          <w:highlight w:val="none"/>
          <w:lang w:val="zh-CN"/>
        </w:rPr>
        <w:t xml:space="preserve">2 </w:t>
      </w:r>
      <w:r>
        <w:rPr>
          <w:rStyle w:val="23"/>
          <w:rFonts w:hint="eastAsia" w:ascii="黑体" w:hAnsi="黑体" w:eastAsia="黑体" w:cs="楷体_GB2312"/>
          <w:b/>
          <w:bCs/>
          <w:color w:val="auto"/>
          <w:highlight w:val="none"/>
          <w:lang w:val="zh-CN"/>
        </w:rPr>
        <w:t>招标文件</w:t>
      </w:r>
      <w:r>
        <w:rPr>
          <w:color w:val="auto"/>
          <w:highlight w:val="none"/>
        </w:rPr>
        <w:tab/>
      </w:r>
      <w:r>
        <w:rPr>
          <w:color w:val="auto"/>
          <w:highlight w:val="none"/>
        </w:rPr>
        <w:fldChar w:fldCharType="begin"/>
      </w:r>
      <w:r>
        <w:rPr>
          <w:color w:val="auto"/>
          <w:highlight w:val="none"/>
        </w:rPr>
        <w:instrText xml:space="preserve"> PAGEREF _Toc186018365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6307364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"_Toc186018366" </w:instrText>
      </w:r>
      <w:r>
        <w:rPr>
          <w:color w:val="auto"/>
          <w:highlight w:val="none"/>
        </w:rPr>
        <w:fldChar w:fldCharType="separate"/>
      </w:r>
      <w:r>
        <w:rPr>
          <w:rStyle w:val="23"/>
          <w:rFonts w:ascii="黑体" w:hAnsi="黑体" w:eastAsia="黑体" w:cs="楷体_GB2312"/>
          <w:b/>
          <w:bCs/>
          <w:color w:val="auto"/>
          <w:highlight w:val="none"/>
          <w:lang w:val="zh-CN"/>
        </w:rPr>
        <w:t xml:space="preserve">3 </w:t>
      </w:r>
      <w:r>
        <w:rPr>
          <w:rStyle w:val="23"/>
          <w:rFonts w:hint="eastAsia" w:ascii="黑体" w:hAnsi="黑体" w:eastAsia="黑体" w:cs="楷体_GB2312"/>
          <w:b/>
          <w:bCs/>
          <w:color w:val="auto"/>
          <w:highlight w:val="none"/>
          <w:lang w:val="zh-CN"/>
        </w:rPr>
        <w:t>投标文件</w:t>
      </w:r>
      <w:r>
        <w:rPr>
          <w:color w:val="auto"/>
          <w:highlight w:val="none"/>
        </w:rPr>
        <w:tab/>
      </w:r>
      <w:r>
        <w:rPr>
          <w:color w:val="auto"/>
          <w:highlight w:val="none"/>
        </w:rPr>
        <w:fldChar w:fldCharType="begin"/>
      </w:r>
      <w:r>
        <w:rPr>
          <w:color w:val="auto"/>
          <w:highlight w:val="none"/>
        </w:rPr>
        <w:instrText xml:space="preserve"> PAGEREF _Toc186018366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0FCBEEE">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"_Toc186018367" </w:instrText>
      </w:r>
      <w:r>
        <w:rPr>
          <w:color w:val="auto"/>
          <w:highlight w:val="none"/>
        </w:rPr>
        <w:fldChar w:fldCharType="separate"/>
      </w:r>
      <w:r>
        <w:rPr>
          <w:rStyle w:val="23"/>
          <w:rFonts w:ascii="黑体" w:hAnsi="黑体" w:eastAsia="黑体" w:cs="楷体_GB2312"/>
          <w:b/>
          <w:bCs/>
          <w:color w:val="auto"/>
          <w:highlight w:val="none"/>
          <w:lang w:val="zh-CN"/>
        </w:rPr>
        <w:t xml:space="preserve">4 </w:t>
      </w:r>
      <w:r>
        <w:rPr>
          <w:rStyle w:val="23"/>
          <w:rFonts w:hint="eastAsia" w:ascii="黑体" w:hAnsi="黑体" w:eastAsia="黑体" w:cs="楷体_GB2312"/>
          <w:b/>
          <w:bCs/>
          <w:color w:val="auto"/>
          <w:highlight w:val="none"/>
          <w:lang w:val="zh-CN"/>
        </w:rPr>
        <w:t>投标</w:t>
      </w:r>
      <w:r>
        <w:rPr>
          <w:color w:val="auto"/>
          <w:highlight w:val="none"/>
        </w:rPr>
        <w:tab/>
      </w:r>
      <w:r>
        <w:rPr>
          <w:color w:val="auto"/>
          <w:highlight w:val="none"/>
        </w:rPr>
        <w:fldChar w:fldCharType="begin"/>
      </w:r>
      <w:r>
        <w:rPr>
          <w:color w:val="auto"/>
          <w:highlight w:val="none"/>
        </w:rPr>
        <w:instrText xml:space="preserve"> PAGEREF _Toc186018367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87CA953">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"_Toc186018368" </w:instrText>
      </w:r>
      <w:r>
        <w:rPr>
          <w:color w:val="auto"/>
          <w:highlight w:val="none"/>
        </w:rPr>
        <w:fldChar w:fldCharType="separate"/>
      </w:r>
      <w:r>
        <w:rPr>
          <w:rStyle w:val="23"/>
          <w:rFonts w:ascii="黑体" w:hAnsi="黑体" w:eastAsia="黑体" w:cs="楷体_GB2312"/>
          <w:b/>
          <w:bCs/>
          <w:color w:val="auto"/>
          <w:highlight w:val="none"/>
          <w:lang w:val="zh-CN"/>
        </w:rPr>
        <w:t xml:space="preserve">5 </w:t>
      </w:r>
      <w:r>
        <w:rPr>
          <w:rStyle w:val="23"/>
          <w:rFonts w:hint="eastAsia" w:ascii="黑体" w:hAnsi="黑体" w:eastAsia="黑体" w:cs="楷体_GB2312"/>
          <w:b/>
          <w:bCs/>
          <w:color w:val="auto"/>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_Toc186018368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FFF9F6A">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"_Toc186018369" </w:instrText>
      </w:r>
      <w:r>
        <w:rPr>
          <w:color w:val="auto"/>
          <w:highlight w:val="none"/>
        </w:rPr>
        <w:fldChar w:fldCharType="separate"/>
      </w:r>
      <w:r>
        <w:rPr>
          <w:rStyle w:val="23"/>
          <w:rFonts w:ascii="黑体" w:hAnsi="黑体" w:eastAsia="黑体" w:cs="楷体_GB2312"/>
          <w:b/>
          <w:bCs/>
          <w:color w:val="auto"/>
          <w:highlight w:val="none"/>
          <w:lang w:val="zh-CN"/>
        </w:rPr>
        <w:t xml:space="preserve">6 </w:t>
      </w:r>
      <w:r>
        <w:rPr>
          <w:rStyle w:val="23"/>
          <w:rFonts w:hint="eastAsia" w:ascii="黑体" w:hAnsi="黑体" w:eastAsia="黑体" w:cs="楷体_GB2312"/>
          <w:b/>
          <w:bCs/>
          <w:color w:val="auto"/>
          <w:highlight w:val="none"/>
          <w:lang w:val="zh-CN"/>
        </w:rPr>
        <w:t>资格性审查</w:t>
      </w:r>
      <w:r>
        <w:rPr>
          <w:color w:val="auto"/>
          <w:highlight w:val="none"/>
        </w:rPr>
        <w:tab/>
      </w:r>
      <w:r>
        <w:rPr>
          <w:color w:val="auto"/>
          <w:highlight w:val="none"/>
        </w:rPr>
        <w:fldChar w:fldCharType="begin"/>
      </w:r>
      <w:r>
        <w:rPr>
          <w:color w:val="auto"/>
          <w:highlight w:val="none"/>
        </w:rPr>
        <w:instrText xml:space="preserve"> PAGEREF _Toc186018369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159B496">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"_Toc186018370" </w:instrText>
      </w:r>
      <w:r>
        <w:rPr>
          <w:color w:val="auto"/>
          <w:highlight w:val="none"/>
        </w:rPr>
        <w:fldChar w:fldCharType="separate"/>
      </w:r>
      <w:r>
        <w:rPr>
          <w:rStyle w:val="23"/>
          <w:rFonts w:ascii="黑体" w:hAnsi="黑体" w:eastAsia="黑体" w:cs="楷体_GB2312"/>
          <w:b/>
          <w:bCs/>
          <w:color w:val="auto"/>
          <w:highlight w:val="none"/>
          <w:lang w:val="zh-CN"/>
        </w:rPr>
        <w:t xml:space="preserve">8 </w:t>
      </w:r>
      <w:r>
        <w:rPr>
          <w:rStyle w:val="23"/>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_Toc186018370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14:paraId="4B468D2E">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"_Toc186018371" </w:instrText>
      </w:r>
      <w:r>
        <w:rPr>
          <w:color w:val="auto"/>
          <w:highlight w:val="none"/>
        </w:rPr>
        <w:fldChar w:fldCharType="separate"/>
      </w:r>
      <w:r>
        <w:rPr>
          <w:rStyle w:val="23"/>
          <w:rFonts w:ascii="黑体" w:hAnsi="黑体" w:eastAsia="黑体" w:cs="楷体_GB2312"/>
          <w:b/>
          <w:bCs/>
          <w:color w:val="auto"/>
          <w:highlight w:val="none"/>
          <w:lang w:val="zh-CN"/>
        </w:rPr>
        <w:t xml:space="preserve">9 </w:t>
      </w:r>
      <w:r>
        <w:rPr>
          <w:rStyle w:val="23"/>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_Toc186018371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53C098A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"_Toc186018372" </w:instrText>
      </w:r>
      <w:r>
        <w:rPr>
          <w:color w:val="auto"/>
          <w:highlight w:val="none"/>
        </w:rPr>
        <w:fldChar w:fldCharType="separate"/>
      </w:r>
      <w:r>
        <w:rPr>
          <w:rStyle w:val="23"/>
          <w:rFonts w:ascii="黑体" w:hAnsi="黑体" w:eastAsia="黑体" w:cs="楷体_GB2312"/>
          <w:b/>
          <w:bCs/>
          <w:color w:val="auto"/>
          <w:highlight w:val="none"/>
          <w:lang w:val="zh-CN"/>
        </w:rPr>
        <w:t xml:space="preserve">10 </w:t>
      </w:r>
      <w:r>
        <w:rPr>
          <w:rStyle w:val="23"/>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_Toc186018372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075BF08B">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"_Toc186018373" </w:instrText>
      </w:r>
      <w:r>
        <w:rPr>
          <w:color w:val="auto"/>
          <w:highlight w:val="none"/>
        </w:rPr>
        <w:fldChar w:fldCharType="separate"/>
      </w:r>
      <w:r>
        <w:rPr>
          <w:rStyle w:val="23"/>
          <w:rFonts w:ascii="黑体" w:hAnsi="黑体" w:eastAsia="黑体" w:cs="楷体_GB2312"/>
          <w:b/>
          <w:bCs/>
          <w:color w:val="auto"/>
          <w:highlight w:val="none"/>
          <w:lang w:val="zh-CN"/>
        </w:rPr>
        <w:t xml:space="preserve">11 </w:t>
      </w:r>
      <w:r>
        <w:rPr>
          <w:rStyle w:val="23"/>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_Toc186018373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14:paraId="4CC98E9B">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"_Toc186018374" </w:instrText>
      </w:r>
      <w:r>
        <w:rPr>
          <w:color w:val="auto"/>
          <w:highlight w:val="none"/>
        </w:rPr>
        <w:fldChar w:fldCharType="separate"/>
      </w:r>
      <w:r>
        <w:rPr>
          <w:rStyle w:val="23"/>
          <w:rFonts w:ascii="黑体" w:hAnsi="黑体" w:eastAsia="黑体" w:cs="楷体_GB2312"/>
          <w:b/>
          <w:bCs/>
          <w:color w:val="auto"/>
          <w:highlight w:val="none"/>
          <w:lang w:val="zh-CN"/>
        </w:rPr>
        <w:t xml:space="preserve">12 </w:t>
      </w:r>
      <w:r>
        <w:rPr>
          <w:rStyle w:val="23"/>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_Toc186018374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14:paraId="3FD3DAC0">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"_Toc186018375" </w:instrText>
      </w:r>
      <w:r>
        <w:rPr>
          <w:color w:val="auto"/>
          <w:highlight w:val="none"/>
        </w:rPr>
        <w:fldChar w:fldCharType="separate"/>
      </w:r>
      <w:r>
        <w:rPr>
          <w:rStyle w:val="23"/>
          <w:rFonts w:hint="eastAsia" w:ascii="黑体" w:hAnsi="黑体" w:eastAsia="黑体"/>
          <w:b/>
          <w:bCs/>
          <w:color w:val="auto"/>
          <w:kern w:val="44"/>
          <w:highlight w:val="none"/>
          <w:lang w:val="zh-CN"/>
        </w:rPr>
        <w:t>第四章</w:t>
      </w:r>
      <w:r>
        <w:rPr>
          <w:rStyle w:val="23"/>
          <w:rFonts w:ascii="黑体" w:hAnsi="黑体" w:eastAsia="黑体"/>
          <w:b/>
          <w:bCs/>
          <w:color w:val="auto"/>
          <w:kern w:val="44"/>
          <w:highlight w:val="none"/>
          <w:lang w:val="zh-CN"/>
        </w:rPr>
        <w:t xml:space="preserve">  </w:t>
      </w:r>
      <w:r>
        <w:rPr>
          <w:rStyle w:val="23"/>
          <w:rFonts w:hint="eastAsia" w:ascii="黑体" w:hAnsi="黑体" w:eastAsia="黑体"/>
          <w:b/>
          <w:bCs/>
          <w:color w:val="auto"/>
          <w:kern w:val="44"/>
          <w:highlight w:val="none"/>
          <w:lang w:val="zh-CN"/>
        </w:rPr>
        <w:t>评标办法（综合评分法）</w:t>
      </w:r>
      <w:r>
        <w:rPr>
          <w:color w:val="auto"/>
          <w:highlight w:val="none"/>
        </w:rPr>
        <w:tab/>
      </w:r>
      <w:r>
        <w:rPr>
          <w:color w:val="auto"/>
          <w:highlight w:val="none"/>
        </w:rPr>
        <w:fldChar w:fldCharType="begin"/>
      </w:r>
      <w:r>
        <w:rPr>
          <w:color w:val="auto"/>
          <w:highlight w:val="none"/>
        </w:rPr>
        <w:instrText xml:space="preserve"> PAGEREF _Toc186018375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10F567F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"_Toc186018376" </w:instrText>
      </w:r>
      <w:r>
        <w:rPr>
          <w:color w:val="auto"/>
          <w:highlight w:val="none"/>
        </w:rPr>
        <w:fldChar w:fldCharType="separate"/>
      </w:r>
      <w:r>
        <w:rPr>
          <w:rStyle w:val="23"/>
          <w:rFonts w:hint="eastAsia" w:ascii="黑体" w:hAnsi="黑体" w:eastAsia="黑体"/>
          <w:b/>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_Toc186018376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14:paraId="31367D62">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"_Toc186018377" </w:instrText>
      </w:r>
      <w:r>
        <w:rPr>
          <w:color w:val="auto"/>
          <w:highlight w:val="none"/>
        </w:rPr>
        <w:fldChar w:fldCharType="separate"/>
      </w:r>
      <w:r>
        <w:rPr>
          <w:rStyle w:val="23"/>
          <w:rFonts w:ascii="黑体" w:hAnsi="黑体" w:eastAsia="黑体" w:cs="楷体_GB2312"/>
          <w:b/>
          <w:bCs/>
          <w:color w:val="auto"/>
          <w:highlight w:val="none"/>
          <w:lang w:val="zh-CN"/>
        </w:rPr>
        <w:t xml:space="preserve">2. </w:t>
      </w:r>
      <w:r>
        <w:rPr>
          <w:rStyle w:val="23"/>
          <w:rFonts w:hint="eastAsia" w:ascii="黑体" w:hAnsi="黑体" w:eastAsia="黑体" w:cs="楷体_GB2312"/>
          <w:b/>
          <w:bCs/>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_Toc186018377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7F63D4B4">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"_Toc186018378" </w:instrText>
      </w:r>
      <w:r>
        <w:rPr>
          <w:color w:val="auto"/>
          <w:highlight w:val="none"/>
        </w:rPr>
        <w:fldChar w:fldCharType="separate"/>
      </w:r>
      <w:r>
        <w:rPr>
          <w:rStyle w:val="23"/>
          <w:rFonts w:ascii="黑体" w:hAnsi="黑体" w:eastAsia="黑体" w:cs="楷体_GB2312"/>
          <w:b/>
          <w:bCs/>
          <w:color w:val="auto"/>
          <w:highlight w:val="none"/>
          <w:lang w:val="zh-CN"/>
        </w:rPr>
        <w:t xml:space="preserve">3. </w:t>
      </w:r>
      <w:r>
        <w:rPr>
          <w:rStyle w:val="23"/>
          <w:rFonts w:hint="eastAsia" w:ascii="黑体" w:hAnsi="黑体" w:eastAsia="黑体" w:cs="楷体_GB2312"/>
          <w:b/>
          <w:bCs/>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_Toc186018378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0EF06927">
      <w:pPr>
        <w:pStyle w:val="13"/>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"_Toc186018379" </w:instrText>
      </w:r>
      <w:r>
        <w:rPr>
          <w:color w:val="auto"/>
          <w:highlight w:val="none"/>
        </w:rPr>
        <w:fldChar w:fldCharType="separate"/>
      </w:r>
      <w:r>
        <w:rPr>
          <w:rStyle w:val="23"/>
          <w:rFonts w:ascii="黑体" w:hAnsi="黑体" w:eastAsia="黑体" w:cs="楷体_GB2312"/>
          <w:b/>
          <w:bCs/>
          <w:color w:val="auto"/>
          <w:highlight w:val="none"/>
          <w:lang w:val="zh-CN"/>
        </w:rPr>
        <w:t xml:space="preserve">4. </w:t>
      </w:r>
      <w:r>
        <w:rPr>
          <w:rStyle w:val="23"/>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_Toc186018379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35D24455">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"_Toc186018380" </w:instrText>
      </w:r>
      <w:r>
        <w:rPr>
          <w:color w:val="auto"/>
          <w:highlight w:val="none"/>
        </w:rPr>
        <w:fldChar w:fldCharType="separate"/>
      </w:r>
      <w:r>
        <w:rPr>
          <w:rStyle w:val="23"/>
          <w:rFonts w:hint="eastAsia" w:ascii="黑体" w:eastAsia="黑体"/>
          <w:b/>
          <w:color w:val="auto"/>
          <w:highlight w:val="none"/>
        </w:rPr>
        <w:t>第五章</w:t>
      </w:r>
      <w:r>
        <w:rPr>
          <w:rStyle w:val="23"/>
          <w:rFonts w:ascii="黑体" w:eastAsia="黑体"/>
          <w:b/>
          <w:color w:val="auto"/>
          <w:highlight w:val="none"/>
        </w:rPr>
        <w:t xml:space="preserve">  </w:t>
      </w:r>
      <w:r>
        <w:rPr>
          <w:rStyle w:val="23"/>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_Toc186018380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4D8B8B92">
      <w:pPr>
        <w:pStyle w:val="12"/>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"_Toc186018382" </w:instrText>
      </w:r>
      <w:r>
        <w:rPr>
          <w:color w:val="auto"/>
          <w:highlight w:val="none"/>
        </w:rPr>
        <w:fldChar w:fldCharType="separate"/>
      </w:r>
      <w:r>
        <w:rPr>
          <w:rStyle w:val="23"/>
          <w:rFonts w:hint="eastAsia" w:ascii="黑体" w:hAnsi="黑体" w:eastAsia="黑体"/>
          <w:b/>
          <w:color w:val="auto"/>
          <w:highlight w:val="none"/>
          <w:lang w:val="zh-CN"/>
        </w:rPr>
        <w:t>第六章</w:t>
      </w:r>
      <w:r>
        <w:rPr>
          <w:rStyle w:val="23"/>
          <w:rFonts w:ascii="黑体" w:hAnsi="黑体" w:eastAsia="黑体"/>
          <w:b/>
          <w:color w:val="auto"/>
          <w:highlight w:val="none"/>
          <w:lang w:val="zh-CN"/>
        </w:rPr>
        <w:t xml:space="preserve">  </w:t>
      </w:r>
      <w:r>
        <w:rPr>
          <w:rStyle w:val="23"/>
          <w:rFonts w:hint="eastAsia" w:ascii="黑体" w:hAnsi="黑体" w:eastAsia="黑体"/>
          <w:b/>
          <w:color w:val="auto"/>
          <w:highlight w:val="none"/>
          <w:lang w:val="zh-CN"/>
        </w:rPr>
        <w:t>投标文件格式</w:t>
      </w:r>
      <w:r>
        <w:rPr>
          <w:color w:val="auto"/>
          <w:highlight w:val="none"/>
        </w:rPr>
        <w:tab/>
      </w:r>
      <w:r>
        <w:rPr>
          <w:color w:val="auto"/>
          <w:highlight w:val="none"/>
        </w:rPr>
        <w:fldChar w:fldCharType="begin"/>
      </w:r>
      <w:r>
        <w:rPr>
          <w:color w:val="auto"/>
          <w:highlight w:val="none"/>
        </w:rPr>
        <w:instrText xml:space="preserve"> PAGEREF _Toc186018382 \h </w:instrText>
      </w:r>
      <w:r>
        <w:rPr>
          <w:color w:val="auto"/>
          <w:highlight w:val="none"/>
        </w:rPr>
        <w:fldChar w:fldCharType="separate"/>
      </w:r>
      <w:r>
        <w:rPr>
          <w:color w:val="auto"/>
          <w:highlight w:val="none"/>
        </w:rPr>
        <w:t>- 50 -</w:t>
      </w:r>
      <w:r>
        <w:rPr>
          <w:color w:val="auto"/>
          <w:highlight w:val="none"/>
        </w:rPr>
        <w:fldChar w:fldCharType="end"/>
      </w:r>
      <w:r>
        <w:rPr>
          <w:color w:val="auto"/>
          <w:highlight w:val="none"/>
        </w:rPr>
        <w:fldChar w:fldCharType="end"/>
      </w:r>
    </w:p>
    <w:p w14:paraId="699CDB2B">
      <w:pPr>
        <w:rPr>
          <w:color w:val="auto"/>
          <w:highlight w:val="none"/>
        </w:rPr>
        <w:sectPr>
          <w:pgSz w:w="11905" w:h="16837"/>
          <w:pgMar w:top="1418" w:right="1106" w:bottom="1418" w:left="1418" w:header="567" w:footer="567" w:gutter="0"/>
          <w:pgNumType w:fmt="numberInDash" w:start="0"/>
          <w:cols w:space="720" w:num="1"/>
          <w:titlePg/>
        </w:sectPr>
      </w:pPr>
      <w:r>
        <w:rPr>
          <w:color w:val="auto"/>
          <w:highlight w:val="none"/>
        </w:rPr>
        <w:fldChar w:fldCharType="end"/>
      </w:r>
    </w:p>
    <w:p w14:paraId="43D480B4">
      <w:pPr>
        <w:widowControl w:val="0"/>
        <w:snapToGrid w:val="0"/>
        <w:spacing w:line="560" w:lineRule="exact"/>
        <w:jc w:val="left"/>
        <w:rPr>
          <w:rFonts w:ascii="宋体"/>
          <w:color w:val="auto"/>
          <w:sz w:val="24"/>
          <w:szCs w:val="24"/>
          <w:highlight w:val="none"/>
        </w:rPr>
      </w:pPr>
    </w:p>
    <w:p w14:paraId="5C8EA5D0">
      <w:pPr>
        <w:widowControl w:val="0"/>
        <w:snapToGrid w:val="0"/>
        <w:spacing w:line="560" w:lineRule="exact"/>
        <w:jc w:val="center"/>
        <w:outlineLvl w:val="0"/>
        <w:rPr>
          <w:color w:val="auto"/>
          <w:sz w:val="36"/>
          <w:szCs w:val="36"/>
          <w:highlight w:val="none"/>
        </w:rPr>
      </w:pPr>
      <w:bookmarkStart w:id="0" w:name="_Toc186018357"/>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招标公告</w:t>
      </w:r>
      <w:bookmarkEnd w:id="0"/>
    </w:p>
    <w:p w14:paraId="47940816">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39F22474">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项目编号：殷公开-2025</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w:t>
      </w:r>
    </w:p>
    <w:p w14:paraId="04AD98EF">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w:t>
      </w:r>
      <w:bookmarkStart w:id="1" w:name="OLE_LINK3"/>
      <w:r>
        <w:rPr>
          <w:rFonts w:ascii="宋体" w:hAnsi="宋体"/>
          <w:color w:val="auto"/>
          <w:sz w:val="24"/>
          <w:szCs w:val="24"/>
          <w:highlight w:val="none"/>
        </w:rPr>
        <w:t>安阳殷墟世界文化遗产保护管理委员会安阳市殷墟遗址保护区智慧技术安全防范运行维护服务项目</w:t>
      </w:r>
      <w:bookmarkEnd w:id="1"/>
    </w:p>
    <w:p w14:paraId="17E9C57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1.3采购方式：公开招标</w:t>
      </w:r>
    </w:p>
    <w:p w14:paraId="523FEE80">
      <w:pPr>
        <w:widowControl w:val="0"/>
        <w:adjustRightInd w:val="0"/>
        <w:snapToGrid w:val="0"/>
        <w:spacing w:line="360" w:lineRule="auto"/>
        <w:ind w:firstLine="540" w:firstLineChars="225"/>
        <w:jc w:val="left"/>
        <w:rPr>
          <w:rFonts w:hint="eastAsia" w:ascii="宋体" w:hAns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4预算金额：</w:t>
      </w:r>
      <w:r>
        <w:rPr>
          <w:rFonts w:hint="eastAsia" w:ascii="宋体" w:hAnsi="宋体"/>
          <w:color w:val="auto"/>
          <w:sz w:val="24"/>
          <w:szCs w:val="24"/>
          <w:highlight w:val="none"/>
          <w:lang w:val="en-US" w:eastAsia="zh-CN"/>
        </w:rPr>
        <w:t>600万元（</w:t>
      </w:r>
      <w:r>
        <w:rPr>
          <w:rFonts w:hint="eastAsia" w:ascii="宋体" w:hAnsi="宋体"/>
          <w:color w:val="auto"/>
          <w:sz w:val="24"/>
          <w:szCs w:val="24"/>
          <w:highlight w:val="none"/>
        </w:rPr>
        <w:t>200万元/年</w:t>
      </w:r>
      <w:r>
        <w:rPr>
          <w:rFonts w:hint="eastAsia" w:ascii="宋体" w:hAnsi="宋体"/>
          <w:color w:val="auto"/>
          <w:sz w:val="24"/>
          <w:szCs w:val="24"/>
          <w:highlight w:val="none"/>
          <w:lang w:eastAsia="zh-CN"/>
        </w:rPr>
        <w:t>）</w:t>
      </w:r>
    </w:p>
    <w:p w14:paraId="41FEAABD">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1.5采购需求（详见法定媒体公告附件）：</w:t>
      </w:r>
      <w:bookmarkStart w:id="2" w:name="OLE_LINK4"/>
      <w:r>
        <w:rPr>
          <w:rFonts w:ascii="宋体" w:hAnsi="宋体"/>
          <w:color w:val="auto"/>
          <w:sz w:val="24"/>
          <w:szCs w:val="24"/>
          <w:highlight w:val="none"/>
        </w:rPr>
        <w:t>安阳市殷墟遗址保护区智慧技术安全防范运行维护服务</w:t>
      </w:r>
      <w:r>
        <w:rPr>
          <w:rFonts w:hint="eastAsia" w:ascii="宋体" w:hAnsi="宋体"/>
          <w:color w:val="auto"/>
          <w:sz w:val="24"/>
          <w:szCs w:val="24"/>
          <w:highlight w:val="none"/>
        </w:rPr>
        <w:t>。</w:t>
      </w:r>
      <w:bookmarkEnd w:id="2"/>
    </w:p>
    <w:p w14:paraId="3F0DF1F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1.6合同履行期限：3年</w:t>
      </w:r>
    </w:p>
    <w:p w14:paraId="747E5B1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4246AF2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14:paraId="0DB87F7C">
      <w:pPr>
        <w:widowControl w:val="0"/>
        <w:snapToGrid w:val="0"/>
        <w:spacing w:line="560" w:lineRule="exact"/>
        <w:jc w:val="left"/>
        <w:rPr>
          <w:rFonts w:ascii="宋体" w:hAnsi="宋体"/>
          <w:b/>
          <w:color w:val="auto"/>
          <w:sz w:val="24"/>
          <w:szCs w:val="24"/>
          <w:highlight w:val="none"/>
        </w:rPr>
      </w:pPr>
    </w:p>
    <w:p w14:paraId="04E03C79">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371521B5">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79AB26C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68419C36">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6C1DA6E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69A29388">
      <w:pPr>
        <w:widowControl w:val="0"/>
        <w:adjustRightInd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注：根据法规要求，如投标人为具备合法经营(业务)范围的基础电信业务运营商或广电网络运营商的，可授权其分公司或分支机构使用其资格和资质参与该项目投标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但</w:t>
      </w:r>
      <w:r>
        <w:rPr>
          <w:rFonts w:hint="eastAsia" w:ascii="宋体" w:hAnsi="宋体"/>
          <w:color w:val="auto"/>
          <w:sz w:val="24"/>
          <w:szCs w:val="24"/>
          <w:highlight w:val="none"/>
          <w:lang w:eastAsia="zh-CN"/>
        </w:rPr>
        <w:t>不同支</w:t>
      </w:r>
      <w:r>
        <w:rPr>
          <w:rFonts w:hint="eastAsia" w:ascii="宋体" w:hAnsi="宋体"/>
          <w:color w:val="auto"/>
          <w:sz w:val="24"/>
          <w:szCs w:val="24"/>
          <w:highlight w:val="none"/>
          <w:lang w:val="en-US" w:eastAsia="zh-CN"/>
        </w:rPr>
        <w:t>&lt;</w:t>
      </w:r>
      <w:r>
        <w:rPr>
          <w:rFonts w:hint="eastAsia" w:ascii="宋体" w:hAnsi="宋体"/>
          <w:color w:val="auto"/>
          <w:sz w:val="24"/>
          <w:szCs w:val="24"/>
          <w:highlight w:val="none"/>
          <w:lang w:eastAsia="zh-CN"/>
        </w:rPr>
        <w:t>子</w:t>
      </w:r>
      <w:r>
        <w:rPr>
          <w:rFonts w:hint="eastAsia" w:ascii="宋体" w:hAnsi="宋体"/>
          <w:color w:val="auto"/>
          <w:sz w:val="24"/>
          <w:szCs w:val="24"/>
          <w:highlight w:val="none"/>
          <w:lang w:val="en-US" w:eastAsia="zh-CN"/>
        </w:rPr>
        <w:t>&gt;</w:t>
      </w:r>
      <w:r>
        <w:rPr>
          <w:rFonts w:hint="eastAsia" w:ascii="宋体" w:hAnsi="宋体"/>
          <w:color w:val="auto"/>
          <w:sz w:val="24"/>
          <w:szCs w:val="24"/>
          <w:highlight w:val="none"/>
          <w:lang w:eastAsia="zh-CN"/>
        </w:rPr>
        <w:t>公司，不得同时参加本项目投标）</w:t>
      </w:r>
      <w:r>
        <w:rPr>
          <w:rFonts w:hint="eastAsia" w:ascii="宋体" w:hAnsi="宋体"/>
          <w:color w:val="auto"/>
          <w:sz w:val="24"/>
          <w:szCs w:val="24"/>
          <w:highlight w:val="none"/>
        </w:rPr>
        <w:t>。■提供总公司的资格证明文件、分公司营业执照、总公司授权分公司投标的授权书</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并可使用</w:t>
      </w:r>
      <w:r>
        <w:rPr>
          <w:rFonts w:hint="eastAsia" w:ascii="宋体" w:hAnsi="宋体"/>
          <w:color w:val="auto"/>
          <w:sz w:val="24"/>
          <w:szCs w:val="24"/>
          <w:highlight w:val="none"/>
        </w:rPr>
        <w:t>其总公司或所属法人机构相关资料参与投标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w:t>
      </w:r>
    </w:p>
    <w:p w14:paraId="69EDAAA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54476FD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14:paraId="6798DCA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155D41F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0AD15F6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5DDD22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2.3.3项目的特定资格要求：</w:t>
      </w:r>
    </w:p>
    <w:p w14:paraId="5A65265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0621DDA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0434D1D4">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注：（1）所有证照均应为有效的证照；文中“近”、“前”指距投标截止时间。</w:t>
      </w:r>
    </w:p>
    <w:p w14:paraId="33B538E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（2）资格证明材料（文件）应附于投标文件中并经投标人电子签章。投标人对资格证明文件真实性有效合规承担责任，提供虚假材料的为无效投标并将进一步追究其责任。</w:t>
      </w:r>
    </w:p>
    <w:p w14:paraId="685B092E">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（3） 本项目采取资格后审，开标后，将由采购人或者采购代理机构对投标人的资格证明材料（文件）等进行资格审核，未按要求逐一提供、或资格审查不合格的为无效投标，投标人应自负其风险费用。</w:t>
      </w:r>
    </w:p>
    <w:p w14:paraId="504D8F62">
      <w:pPr>
        <w:pStyle w:val="15"/>
        <w:shd w:val="clear" w:color="auto" w:fill="FFFFFF"/>
        <w:adjustRightInd w:val="0"/>
        <w:spacing w:before="50" w:beforeAutospacing="0" w:after="0" w:afterAutospacing="0" w:line="300" w:lineRule="auto"/>
        <w:ind w:firstLine="542" w:firstLineChars="225"/>
        <w:rPr>
          <w:b/>
          <w:color w:val="auto"/>
          <w:highlight w:val="none"/>
        </w:rPr>
      </w:pPr>
    </w:p>
    <w:p w14:paraId="6AF92AE7">
      <w:pPr>
        <w:widowControl w:val="0"/>
        <w:snapToGrid w:val="0"/>
        <w:spacing w:line="360" w:lineRule="auto"/>
        <w:ind w:firstLine="562" w:firstLineChars="200"/>
        <w:rPr>
          <w:rFonts w:ascii="黑体" w:hAnsi="黑体" w:eastAsia="黑体"/>
          <w:b/>
          <w:color w:val="auto"/>
          <w:sz w:val="28"/>
          <w:szCs w:val="28"/>
          <w:highlight w:val="none"/>
        </w:rPr>
      </w:pPr>
      <w:bookmarkStart w:id="3" w:name="_Toc35393623"/>
      <w:bookmarkStart w:id="4" w:name="_Toc35393792"/>
      <w:r>
        <w:rPr>
          <w:rFonts w:hint="eastAsia" w:ascii="黑体" w:hAnsi="黑体" w:eastAsia="黑体"/>
          <w:b/>
          <w:color w:val="auto"/>
          <w:sz w:val="28"/>
          <w:szCs w:val="28"/>
          <w:highlight w:val="none"/>
        </w:rPr>
        <w:t>3.获取招标文件</w:t>
      </w:r>
      <w:bookmarkEnd w:id="3"/>
      <w:bookmarkEnd w:id="4"/>
    </w:p>
    <w:p w14:paraId="5B6A08E6">
      <w:pPr>
        <w:snapToGrid w:val="0"/>
        <w:spacing w:line="360" w:lineRule="auto"/>
        <w:ind w:firstLine="540" w:firstLineChars="225"/>
        <w:jc w:val="left"/>
        <w:rPr>
          <w:b/>
          <w:color w:val="auto"/>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u w:val="single"/>
        </w:rPr>
        <w:t>2025</w:t>
      </w:r>
      <w:r>
        <w:rPr>
          <w:rFonts w:hint="eastAsia"/>
          <w:color w:val="auto"/>
          <w:sz w:val="24"/>
          <w:szCs w:val="24"/>
        </w:rPr>
        <w:t>年</w:t>
      </w:r>
      <w:r>
        <w:rPr>
          <w:rFonts w:hint="eastAsia"/>
          <w:color w:val="auto"/>
          <w:sz w:val="24"/>
          <w:szCs w:val="24"/>
          <w:u w:val="single"/>
          <w:lang w:val="en-US" w:eastAsia="zh-CN"/>
        </w:rPr>
        <w:t>3</w:t>
      </w:r>
      <w:r>
        <w:rPr>
          <w:rFonts w:hint="eastAsia"/>
          <w:color w:val="auto"/>
          <w:sz w:val="24"/>
          <w:szCs w:val="24"/>
        </w:rPr>
        <w:t>月</w:t>
      </w:r>
      <w:r>
        <w:rPr>
          <w:rFonts w:hint="eastAsia"/>
          <w:color w:val="auto"/>
          <w:sz w:val="24"/>
          <w:szCs w:val="24"/>
          <w:u w:val="single"/>
        </w:rPr>
        <w:t>1</w:t>
      </w:r>
      <w:r>
        <w:rPr>
          <w:rFonts w:hint="eastAsia"/>
          <w:color w:val="auto"/>
          <w:sz w:val="24"/>
          <w:szCs w:val="24"/>
          <w:u w:val="single"/>
          <w:lang w:val="en-US" w:eastAsia="zh-CN"/>
        </w:rPr>
        <w:t>3</w:t>
      </w:r>
      <w:r>
        <w:rPr>
          <w:rFonts w:hint="eastAsia"/>
          <w:color w:val="auto"/>
          <w:sz w:val="24"/>
          <w:szCs w:val="24"/>
        </w:rPr>
        <w:t>日至</w:t>
      </w:r>
      <w:r>
        <w:rPr>
          <w:rFonts w:hint="eastAsia"/>
          <w:color w:val="auto"/>
          <w:sz w:val="24"/>
          <w:szCs w:val="24"/>
          <w:u w:val="single"/>
        </w:rPr>
        <w:t>2025</w:t>
      </w:r>
      <w:r>
        <w:rPr>
          <w:rFonts w:hint="eastAsia"/>
          <w:color w:val="auto"/>
          <w:sz w:val="24"/>
          <w:szCs w:val="24"/>
        </w:rPr>
        <w:t>年</w:t>
      </w:r>
      <w:r>
        <w:rPr>
          <w:rFonts w:hint="eastAsia"/>
          <w:color w:val="auto"/>
          <w:sz w:val="24"/>
          <w:szCs w:val="24"/>
          <w:u w:val="single"/>
          <w:lang w:val="en-US" w:eastAsia="zh-CN"/>
        </w:rPr>
        <w:t>3</w:t>
      </w:r>
      <w:r>
        <w:rPr>
          <w:rFonts w:hint="eastAsia"/>
          <w:color w:val="auto"/>
          <w:sz w:val="24"/>
          <w:szCs w:val="24"/>
        </w:rPr>
        <w:t>月</w:t>
      </w:r>
      <w:r>
        <w:rPr>
          <w:rFonts w:hint="eastAsia"/>
          <w:color w:val="auto"/>
          <w:sz w:val="24"/>
          <w:szCs w:val="24"/>
          <w:u w:val="single"/>
        </w:rPr>
        <w:t>1</w:t>
      </w:r>
      <w:r>
        <w:rPr>
          <w:rFonts w:hint="eastAsia"/>
          <w:color w:val="auto"/>
          <w:sz w:val="24"/>
          <w:szCs w:val="24"/>
          <w:u w:val="single"/>
          <w:lang w:val="en-US" w:eastAsia="zh-CN"/>
        </w:rPr>
        <w:t>9</w:t>
      </w:r>
      <w:r>
        <w:rPr>
          <w:rFonts w:hint="eastAsia"/>
          <w:color w:val="auto"/>
          <w:sz w:val="24"/>
          <w:szCs w:val="24"/>
        </w:rPr>
        <w:t>日，每天上午</w:t>
      </w:r>
      <w:r>
        <w:rPr>
          <w:rFonts w:hint="eastAsia"/>
          <w:color w:val="auto"/>
          <w:sz w:val="24"/>
          <w:szCs w:val="24"/>
          <w:u w:val="single"/>
        </w:rPr>
        <w:t>00:00</w:t>
      </w:r>
      <w:r>
        <w:rPr>
          <w:rFonts w:hint="eastAsia"/>
          <w:color w:val="auto"/>
          <w:sz w:val="24"/>
          <w:szCs w:val="24"/>
        </w:rPr>
        <w:t>至</w:t>
      </w:r>
      <w:r>
        <w:rPr>
          <w:rFonts w:hint="eastAsia"/>
          <w:color w:val="auto"/>
          <w:sz w:val="24"/>
          <w:szCs w:val="24"/>
          <w:u w:val="single"/>
        </w:rPr>
        <w:t>12:00</w:t>
      </w:r>
      <w:r>
        <w:rPr>
          <w:rFonts w:hint="eastAsia"/>
          <w:color w:val="auto"/>
          <w:sz w:val="24"/>
          <w:szCs w:val="24"/>
        </w:rPr>
        <w:t>，下午</w:t>
      </w:r>
      <w:r>
        <w:rPr>
          <w:rFonts w:hint="eastAsia"/>
          <w:color w:val="auto"/>
          <w:sz w:val="24"/>
          <w:szCs w:val="24"/>
          <w:u w:val="single"/>
        </w:rPr>
        <w:t>12:00</w:t>
      </w:r>
      <w:r>
        <w:rPr>
          <w:rFonts w:hint="eastAsia"/>
          <w:color w:val="auto"/>
          <w:sz w:val="24"/>
          <w:szCs w:val="24"/>
        </w:rPr>
        <w:t>至</w:t>
      </w:r>
      <w:r>
        <w:rPr>
          <w:rFonts w:hint="eastAsia"/>
          <w:color w:val="auto"/>
          <w:sz w:val="24"/>
          <w:szCs w:val="24"/>
          <w:u w:val="single"/>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5EA828B3">
      <w:pPr>
        <w:widowControl w:val="0"/>
        <w:snapToGrid w:val="0"/>
        <w:spacing w:line="360" w:lineRule="auto"/>
        <w:ind w:left="55" w:leftChars="26" w:firstLine="472" w:firstLineChars="225"/>
        <w:rPr>
          <w:rFonts w:ascii="宋体" w:hAnsi="宋体"/>
          <w:b/>
          <w:color w:val="auto"/>
          <w:sz w:val="24"/>
          <w:szCs w:val="24"/>
          <w:highlight w:val="none"/>
        </w:rPr>
      </w:pPr>
      <w:r>
        <w:rPr>
          <w:rFonts w:hint="eastAsia"/>
          <w:color w:val="auto"/>
          <w:highlight w:val="none"/>
        </w:rPr>
        <w:t>3.2地点：</w:t>
      </w:r>
      <w:r>
        <w:rPr>
          <w:rFonts w:hint="eastAsia"/>
          <w:b/>
          <w:bCs/>
          <w:color w:val="auto"/>
          <w:sz w:val="24"/>
          <w:szCs w:val="24"/>
          <w:highlight w:val="none"/>
        </w:rPr>
        <w:t>登陆殷都区公共资源交易中心网站（</w:t>
      </w:r>
      <w:r>
        <w:rPr>
          <w:b/>
          <w:bCs/>
          <w:color w:val="auto"/>
          <w:sz w:val="24"/>
          <w:szCs w:val="24"/>
          <w:highlight w:val="none"/>
        </w:rPr>
        <w:t>https://ggzy.anyang.gov.cn/ydggzy</w:t>
      </w:r>
      <w:r>
        <w:rPr>
          <w:rFonts w:hint="eastAsia"/>
          <w:b/>
          <w:bCs/>
          <w:color w:val="auto"/>
          <w:sz w:val="24"/>
          <w:szCs w:val="24"/>
          <w:highlight w:val="none"/>
        </w:rPr>
        <w:t>），在【交易主体登录】入口完成注册。凭数字证书下载招标文件及其它资料。</w:t>
      </w:r>
    </w:p>
    <w:p w14:paraId="14B20435">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7E1A8CAB">
      <w:pPr>
        <w:spacing w:line="360" w:lineRule="auto"/>
        <w:ind w:firstLine="540"/>
        <w:rPr>
          <w:b/>
          <w:bCs/>
          <w:color w:val="auto"/>
          <w:sz w:val="24"/>
          <w:szCs w:val="24"/>
          <w:highlight w:val="none"/>
        </w:rPr>
      </w:pPr>
      <w:r>
        <w:rPr>
          <w:rFonts w:hint="eastAsia"/>
          <w:b/>
          <w:bCs/>
          <w:color w:val="auto"/>
          <w:sz w:val="24"/>
          <w:szCs w:val="24"/>
          <w:highlight w:val="none"/>
        </w:rPr>
        <w:t>具体流程请查询殷都区公共资源交易中心网站-服务指南-操作手册-《安阳市公共资源交易系统投标人（供应商）操作手册》。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58E2F131">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2F52585F">
      <w:pPr>
        <w:pStyle w:val="15"/>
        <w:shd w:val="clear" w:color="auto" w:fill="FFFFFF"/>
        <w:adjustRightInd w:val="0"/>
        <w:spacing w:before="50" w:beforeAutospacing="0" w:after="0" w:afterAutospacing="0" w:line="300" w:lineRule="auto"/>
        <w:rPr>
          <w:rFonts w:cs="Times New Roman"/>
          <w:color w:val="auto"/>
          <w:highlight w:val="none"/>
        </w:rPr>
      </w:pPr>
    </w:p>
    <w:p w14:paraId="23336F3A">
      <w:pPr>
        <w:widowControl w:val="0"/>
        <w:snapToGrid w:val="0"/>
        <w:spacing w:line="360" w:lineRule="auto"/>
        <w:ind w:firstLine="562" w:firstLineChars="200"/>
        <w:rPr>
          <w:rFonts w:ascii="黑体" w:hAnsi="黑体" w:eastAsia="黑体"/>
          <w:b/>
          <w:color w:val="auto"/>
          <w:sz w:val="28"/>
          <w:szCs w:val="28"/>
          <w:highlight w:val="none"/>
        </w:rPr>
      </w:pPr>
      <w:bookmarkStart w:id="5" w:name="_Toc28359082"/>
      <w:bookmarkStart w:id="6" w:name="_Toc28359005"/>
      <w:bookmarkStart w:id="7" w:name="_Toc35393624"/>
      <w:bookmarkStart w:id="8" w:name="_Toc35393793"/>
      <w:r>
        <w:rPr>
          <w:rFonts w:hint="eastAsia" w:ascii="黑体" w:hAnsi="黑体" w:eastAsia="黑体"/>
          <w:b/>
          <w:color w:val="auto"/>
          <w:sz w:val="28"/>
          <w:szCs w:val="28"/>
          <w:highlight w:val="none"/>
        </w:rPr>
        <w:t>4.提交投标文件</w:t>
      </w:r>
      <w:bookmarkEnd w:id="5"/>
      <w:bookmarkEnd w:id="6"/>
      <w:r>
        <w:rPr>
          <w:rFonts w:hint="eastAsia" w:ascii="黑体" w:hAnsi="黑体" w:eastAsia="黑体"/>
          <w:b/>
          <w:color w:val="auto"/>
          <w:sz w:val="28"/>
          <w:szCs w:val="28"/>
          <w:highlight w:val="none"/>
        </w:rPr>
        <w:t>截止时间（投标截止时间及地点）</w:t>
      </w:r>
      <w:bookmarkEnd w:id="7"/>
      <w:bookmarkEnd w:id="8"/>
    </w:p>
    <w:p w14:paraId="517C4EE4">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4.1时间：2025年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2</w:t>
      </w:r>
      <w:r>
        <w:rPr>
          <w:rFonts w:hint="eastAsia"/>
          <w:color w:val="auto"/>
          <w:sz w:val="24"/>
          <w:szCs w:val="24"/>
          <w:highlight w:val="none"/>
        </w:rPr>
        <w:t>日09时00分（北京时间）</w:t>
      </w:r>
    </w:p>
    <w:p w14:paraId="499F9105">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color w:val="auto"/>
          <w:sz w:val="24"/>
          <w:szCs w:val="24"/>
          <w:highlight w:val="none"/>
        </w:rPr>
        <w:t>4.2</w:t>
      </w:r>
      <w:r>
        <w:rPr>
          <w:rFonts w:hint="eastAsia" w:ascii="宋体" w:hAnsi="宋体"/>
          <w:color w:val="auto"/>
          <w:sz w:val="24"/>
          <w:szCs w:val="24"/>
          <w:highlight w:val="none"/>
        </w:rPr>
        <w:t>地点：于殷都区公共资源交易平台</w:t>
      </w:r>
      <w:r>
        <w:rPr>
          <w:rFonts w:hint="eastAsia"/>
          <w:color w:val="auto"/>
          <w:sz w:val="24"/>
          <w:szCs w:val="24"/>
          <w:highlight w:val="none"/>
        </w:rPr>
        <w:t>网上上传递交、并由投标人在规定时间远程解密。</w:t>
      </w:r>
    </w:p>
    <w:p w14:paraId="60BDAEA2">
      <w:pPr>
        <w:widowControl w:val="0"/>
        <w:snapToGrid w:val="0"/>
        <w:spacing w:line="360" w:lineRule="auto"/>
        <w:ind w:left="55" w:leftChars="26" w:firstLine="540" w:firstLineChars="225"/>
        <w:rPr>
          <w:color w:val="auto"/>
          <w:sz w:val="24"/>
          <w:szCs w:val="24"/>
          <w:highlight w:val="none"/>
        </w:rPr>
      </w:pPr>
    </w:p>
    <w:p w14:paraId="45E0B6A8">
      <w:pPr>
        <w:widowControl w:val="0"/>
        <w:adjustRightInd w:val="0"/>
        <w:spacing w:before="156" w:beforeLines="50" w:line="300" w:lineRule="auto"/>
        <w:ind w:firstLine="632" w:firstLineChars="225"/>
        <w:rPr>
          <w:rFonts w:ascii="黑体" w:hAnsi="黑体" w:eastAsia="黑体"/>
          <w:b/>
          <w:color w:val="auto"/>
          <w:sz w:val="28"/>
          <w:szCs w:val="28"/>
          <w:highlight w:val="none"/>
        </w:rPr>
      </w:pPr>
      <w:r>
        <w:rPr>
          <w:rFonts w:hint="eastAsia" w:ascii="黑体" w:hAnsi="黑体" w:eastAsia="黑体"/>
          <w:b/>
          <w:color w:val="auto"/>
          <w:sz w:val="28"/>
          <w:szCs w:val="28"/>
          <w:highlight w:val="none"/>
        </w:rPr>
        <w:t>5.开标时间和地点</w:t>
      </w:r>
    </w:p>
    <w:p w14:paraId="40B2F34B">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5.1时间：2025年</w:t>
      </w:r>
      <w:r>
        <w:rPr>
          <w:rFonts w:hint="eastAsia"/>
          <w:color w:val="auto"/>
          <w:sz w:val="24"/>
          <w:szCs w:val="24"/>
          <w:highlight w:val="none"/>
          <w:lang w:val="en-US" w:eastAsia="zh-CN"/>
        </w:rPr>
        <w:t>4</w:t>
      </w:r>
      <w:r>
        <w:rPr>
          <w:rFonts w:hint="eastAsia"/>
          <w:color w:val="auto"/>
          <w:sz w:val="24"/>
          <w:szCs w:val="24"/>
          <w:highlight w:val="none"/>
        </w:rPr>
        <w:t>月</w:t>
      </w:r>
      <w:r>
        <w:rPr>
          <w:rFonts w:hint="eastAsia"/>
          <w:color w:val="auto"/>
          <w:sz w:val="24"/>
          <w:szCs w:val="24"/>
          <w:highlight w:val="none"/>
          <w:lang w:val="en-US" w:eastAsia="zh-CN"/>
        </w:rPr>
        <w:t>2</w:t>
      </w:r>
      <w:r>
        <w:rPr>
          <w:rFonts w:hint="eastAsia"/>
          <w:color w:val="auto"/>
          <w:sz w:val="24"/>
          <w:szCs w:val="24"/>
          <w:highlight w:val="none"/>
        </w:rPr>
        <w:t>日09时00分（北京时间）</w:t>
      </w:r>
    </w:p>
    <w:p w14:paraId="7DD08B6B">
      <w:pPr>
        <w:widowControl w:val="0"/>
        <w:adjustRightInd w:val="0"/>
        <w:spacing w:before="156" w:beforeLines="50" w:line="300" w:lineRule="auto"/>
        <w:ind w:firstLine="540" w:firstLineChars="225"/>
        <w:rPr>
          <w:color w:val="auto"/>
          <w:sz w:val="24"/>
          <w:szCs w:val="24"/>
          <w:highlight w:val="none"/>
        </w:rPr>
      </w:pPr>
      <w:r>
        <w:rPr>
          <w:rFonts w:hint="eastAsia" w:ascii="宋体" w:hAnsi="宋体"/>
          <w:color w:val="auto"/>
          <w:sz w:val="24"/>
          <w:szCs w:val="24"/>
          <w:highlight w:val="none"/>
        </w:rPr>
        <w:t>5.2地点（</w:t>
      </w:r>
      <w:r>
        <w:rPr>
          <w:rFonts w:hint="eastAsia"/>
          <w:color w:val="auto"/>
          <w:sz w:val="24"/>
          <w:szCs w:val="24"/>
          <w:highlight w:val="none"/>
        </w:rPr>
        <w:t>管理员网上操作地点）：殷都区公共资源交易中心二楼开标</w:t>
      </w:r>
      <w:r>
        <w:rPr>
          <w:rFonts w:hint="eastAsia"/>
          <w:color w:val="auto"/>
          <w:sz w:val="24"/>
          <w:szCs w:val="24"/>
          <w:highlight w:val="none"/>
          <w:u w:val="single"/>
          <w:lang w:val="en-US" w:eastAsia="zh-CN"/>
        </w:rPr>
        <w:t>二</w:t>
      </w:r>
      <w:r>
        <w:rPr>
          <w:rFonts w:hint="eastAsia"/>
          <w:color w:val="auto"/>
          <w:sz w:val="24"/>
          <w:szCs w:val="24"/>
          <w:highlight w:val="none"/>
        </w:rPr>
        <w:t>室（安阳市高新区文昌大道与东风路交叉口向南</w:t>
      </w:r>
      <w:r>
        <w:rPr>
          <w:color w:val="auto"/>
          <w:sz w:val="24"/>
          <w:szCs w:val="24"/>
          <w:highlight w:val="none"/>
        </w:rPr>
        <w:t>300</w:t>
      </w:r>
      <w:r>
        <w:rPr>
          <w:rFonts w:hint="eastAsia"/>
          <w:color w:val="auto"/>
          <w:sz w:val="24"/>
          <w:szCs w:val="24"/>
          <w:highlight w:val="none"/>
        </w:rPr>
        <w:t>米路西</w:t>
      </w:r>
      <w:r>
        <w:rPr>
          <w:color w:val="auto"/>
          <w:sz w:val="24"/>
          <w:szCs w:val="24"/>
          <w:highlight w:val="none"/>
        </w:rPr>
        <w:t xml:space="preserve"> </w:t>
      </w:r>
      <w:r>
        <w:rPr>
          <w:rFonts w:hint="eastAsia"/>
          <w:color w:val="auto"/>
          <w:sz w:val="24"/>
          <w:szCs w:val="24"/>
          <w:highlight w:val="none"/>
        </w:rPr>
        <w:t>东风路</w:t>
      </w:r>
      <w:r>
        <w:rPr>
          <w:color w:val="auto"/>
          <w:sz w:val="24"/>
          <w:szCs w:val="24"/>
          <w:highlight w:val="none"/>
        </w:rPr>
        <w:t>342</w:t>
      </w:r>
      <w:r>
        <w:rPr>
          <w:rFonts w:hint="eastAsia"/>
          <w:color w:val="auto"/>
          <w:sz w:val="24"/>
          <w:szCs w:val="24"/>
          <w:highlight w:val="none"/>
        </w:rPr>
        <w:t>号）。</w:t>
      </w:r>
    </w:p>
    <w:p w14:paraId="58096414">
      <w:pPr>
        <w:widowControl w:val="0"/>
        <w:adjustRightInd w:val="0"/>
        <w:spacing w:before="156"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rFonts w:hint="eastAsia"/>
          <w:b/>
          <w:bCs/>
          <w:color w:val="auto"/>
          <w:sz w:val="24"/>
          <w:szCs w:val="24"/>
          <w:highlight w:val="none"/>
        </w:rPr>
        <w:t>本项目采用远程不见面交易的模式，开标当日，投标人无需到开标现场参加开标会议，投标人应当在投标截止时间前，使用</w:t>
      </w:r>
      <w:r>
        <w:rPr>
          <w:b/>
          <w:bCs/>
          <w:color w:val="auto"/>
          <w:sz w:val="24"/>
          <w:szCs w:val="24"/>
          <w:highlight w:val="none"/>
        </w:rPr>
        <w:t>IE</w:t>
      </w:r>
      <w:r>
        <w:rPr>
          <w:rFonts w:hint="eastAsia"/>
          <w:b/>
          <w:bCs/>
          <w:color w:val="auto"/>
          <w:sz w:val="24"/>
          <w:szCs w:val="24"/>
          <w:highlight w:val="none"/>
        </w:rPr>
        <w:t>浏览器登录到安阳市公共资源交易不见面开标大厅，点击右上方【登录】按钮进入，在线准时参加开标活动并进行投标文件解密等。因投标人原因未能解密、解密失败或解密超时的将被拒绝。</w:t>
      </w:r>
    </w:p>
    <w:p w14:paraId="43D6FEFB">
      <w:pPr>
        <w:widowControl w:val="0"/>
        <w:snapToGrid w:val="0"/>
        <w:spacing w:line="360" w:lineRule="auto"/>
        <w:rPr>
          <w:color w:val="auto"/>
          <w:sz w:val="24"/>
          <w:szCs w:val="24"/>
          <w:highlight w:val="none"/>
        </w:rPr>
      </w:pPr>
    </w:p>
    <w:p w14:paraId="4A14E0AF">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6.发布公告的媒介及招标公告期限</w:t>
      </w:r>
    </w:p>
    <w:p w14:paraId="3F00778F">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全国公共资源交易平台（河南省·殷都区）</w:t>
      </w:r>
      <w:r>
        <w:rPr>
          <w:rFonts w:hint="eastAsia" w:ascii="宋体" w:hAnsi="宋体"/>
          <w:color w:val="auto"/>
          <w:sz w:val="24"/>
          <w:szCs w:val="24"/>
          <w:highlight w:val="none"/>
        </w:rPr>
        <w:t>殷都区公共资源交易中心</w:t>
      </w:r>
      <w:r>
        <w:rPr>
          <w:rFonts w:hint="eastAsia" w:ascii="宋体" w:hAnsi="宋体"/>
          <w:b/>
          <w:color w:val="auto"/>
          <w:sz w:val="24"/>
          <w:szCs w:val="24"/>
          <w:highlight w:val="none"/>
        </w:rPr>
        <w:t>”</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w:t>
      </w:r>
      <w:r>
        <w:rPr>
          <w:rFonts w:hint="eastAsia" w:ascii="宋体" w:hAnsi="宋体" w:cs="宋体"/>
          <w:color w:val="auto"/>
          <w:sz w:val="24"/>
          <w:szCs w:val="24"/>
          <w:highlight w:val="none"/>
        </w:rPr>
        <w:t>招标公告期限为五个工作日。</w:t>
      </w:r>
    </w:p>
    <w:p w14:paraId="38FFF440">
      <w:pPr>
        <w:tabs>
          <w:tab w:val="left" w:pos="39"/>
          <w:tab w:val="left" w:pos="96"/>
        </w:tabs>
        <w:snapToGrid w:val="0"/>
        <w:spacing w:line="360" w:lineRule="auto"/>
        <w:ind w:firstLine="566" w:firstLineChars="236"/>
        <w:rPr>
          <w:rFonts w:ascii="宋体" w:hAnsi="宋体"/>
          <w:color w:val="auto"/>
          <w:kern w:val="2"/>
          <w:sz w:val="24"/>
          <w:szCs w:val="24"/>
          <w:highlight w:val="none"/>
        </w:rPr>
      </w:pPr>
    </w:p>
    <w:p w14:paraId="169A04E9">
      <w:pPr>
        <w:widowControl w:val="0"/>
        <w:snapToGrid w:val="0"/>
        <w:spacing w:line="360" w:lineRule="auto"/>
        <w:ind w:firstLine="562" w:firstLineChars="200"/>
        <w:rPr>
          <w:rFonts w:ascii="黑体" w:hAnsi="黑体" w:eastAsia="黑体"/>
          <w:b/>
          <w:color w:val="auto"/>
          <w:sz w:val="28"/>
          <w:szCs w:val="28"/>
          <w:highlight w:val="none"/>
        </w:rPr>
      </w:pPr>
      <w:bookmarkStart w:id="9" w:name="_Toc35393795"/>
      <w:bookmarkStart w:id="10" w:name="_Toc35393626"/>
      <w:r>
        <w:rPr>
          <w:rFonts w:hint="eastAsia" w:ascii="黑体" w:hAnsi="黑体" w:eastAsia="黑体"/>
          <w:b/>
          <w:color w:val="auto"/>
          <w:sz w:val="28"/>
          <w:szCs w:val="28"/>
          <w:highlight w:val="none"/>
        </w:rPr>
        <w:t>7.其他补充事宜</w:t>
      </w:r>
      <w:bookmarkEnd w:id="9"/>
      <w:bookmarkEnd w:id="10"/>
    </w:p>
    <w:p w14:paraId="3FEA80AE">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08A76E24">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77000729">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3B183366">
      <w:pPr>
        <w:pStyle w:val="15"/>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color w:val="auto"/>
          <w:highlight w:val="none"/>
        </w:rPr>
        <w:t>.</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6224A512">
      <w:pPr>
        <w:widowControl w:val="0"/>
        <w:tabs>
          <w:tab w:val="left" w:pos="39"/>
          <w:tab w:val="left" w:pos="96"/>
        </w:tabs>
        <w:snapToGrid w:val="0"/>
        <w:spacing w:line="360" w:lineRule="auto"/>
        <w:ind w:firstLine="602" w:firstLineChars="250"/>
        <w:rPr>
          <w:rStyle w:val="23"/>
          <w:b/>
          <w:color w:val="auto"/>
          <w:sz w:val="24"/>
          <w:szCs w:val="24"/>
          <w:highlight w:val="none"/>
        </w:rPr>
      </w:pPr>
      <w:r>
        <w:rPr>
          <w:rFonts w:hint="eastAsia" w:ascii="宋体"/>
          <w:b/>
          <w:color w:val="auto"/>
          <w:sz w:val="24"/>
          <w:szCs w:val="24"/>
          <w:highlight w:val="none"/>
        </w:rPr>
        <w:t>7.3.1</w:t>
      </w:r>
      <w:r>
        <w:rPr>
          <w:rFonts w:hint="eastAsia" w:ascii="宋体" w:hAnsi="宋体"/>
          <w:b/>
          <w:color w:val="auto"/>
          <w:sz w:val="24"/>
          <w:szCs w:val="24"/>
          <w:highlight w:val="none"/>
        </w:rPr>
        <w:t>全国公共资源交易平台（</w:t>
      </w:r>
      <w:r>
        <w:rPr>
          <w:rFonts w:hint="eastAsia" w:ascii="宋体" w:hAnsi="宋体" w:cs="宋体"/>
          <w:b/>
          <w:color w:val="auto"/>
          <w:sz w:val="24"/>
          <w:szCs w:val="24"/>
          <w:highlight w:val="none"/>
        </w:rPr>
        <w:t>河南省·殷都区</w:t>
      </w:r>
      <w:r>
        <w:rPr>
          <w:rFonts w:hint="eastAsia"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"https://ggzy.anyang.gov.cn/ydggzy" </w:instrText>
      </w:r>
      <w:r>
        <w:rPr>
          <w:color w:val="auto"/>
          <w:highlight w:val="none"/>
        </w:rPr>
        <w:fldChar w:fldCharType="separate"/>
      </w:r>
      <w:r>
        <w:rPr>
          <w:rStyle w:val="23"/>
          <w:b/>
          <w:color w:val="auto"/>
          <w:sz w:val="24"/>
          <w:szCs w:val="24"/>
          <w:highlight w:val="none"/>
        </w:rPr>
        <w:t>https://ggzy.anyang.gov.cn/ydggzy</w:t>
      </w:r>
      <w:r>
        <w:rPr>
          <w:rStyle w:val="23"/>
          <w:b/>
          <w:color w:val="auto"/>
          <w:sz w:val="24"/>
          <w:szCs w:val="24"/>
          <w:highlight w:val="none"/>
        </w:rPr>
        <w:fldChar w:fldCharType="end"/>
      </w:r>
    </w:p>
    <w:p w14:paraId="71A5CCE4">
      <w:pPr>
        <w:widowControl w:val="0"/>
        <w:tabs>
          <w:tab w:val="left" w:pos="39"/>
          <w:tab w:val="left" w:pos="96"/>
        </w:tabs>
        <w:snapToGrid w:val="0"/>
        <w:spacing w:line="360" w:lineRule="auto"/>
        <w:ind w:firstLine="602" w:firstLineChars="250"/>
        <w:rPr>
          <w:rFonts w:ascii="宋体" w:hAnsi="宋体"/>
          <w:b/>
          <w:color w:val="auto"/>
          <w:sz w:val="24"/>
          <w:szCs w:val="24"/>
          <w:highlight w:val="none"/>
        </w:rPr>
      </w:pPr>
      <w:r>
        <w:rPr>
          <w:rFonts w:hint="eastAsia" w:ascii="宋体" w:hAnsi="宋体"/>
          <w:b/>
          <w:color w:val="auto"/>
          <w:sz w:val="24"/>
          <w:szCs w:val="24"/>
          <w:highlight w:val="none"/>
        </w:rPr>
        <w:t>招标文件简称“殷都区公共资源交易平台”</w:t>
      </w:r>
      <w:r>
        <w:rPr>
          <w:rFonts w:hint="eastAsia" w:ascii="宋体" w:hAnsi="宋体"/>
          <w:b/>
          <w:color w:val="auto"/>
          <w:sz w:val="24"/>
          <w:szCs w:val="24"/>
          <w:highlight w:val="none"/>
        </w:rPr>
        <w:tab/>
      </w:r>
    </w:p>
    <w:p w14:paraId="712096B3">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7.3.2投标文件制作软件：在殷都区公共资源交易平台进行下载、并安装投标文件制作工具，查看</w:t>
      </w:r>
      <w:r>
        <w:rPr>
          <w:rFonts w:hint="eastAsia" w:ascii="宋体" w:hAnsi="宋体"/>
          <w:b/>
          <w:color w:val="auto"/>
          <w:sz w:val="24"/>
          <w:szCs w:val="24"/>
          <w:highlight w:val="none"/>
        </w:rPr>
        <w:t>招标</w:t>
      </w:r>
      <w:r>
        <w:rPr>
          <w:rFonts w:hint="eastAsia" w:ascii="宋体"/>
          <w:b/>
          <w:color w:val="auto"/>
          <w:sz w:val="24"/>
          <w:szCs w:val="24"/>
          <w:highlight w:val="none"/>
        </w:rPr>
        <w:t>文件和制作电子投标文件。</w:t>
      </w:r>
    </w:p>
    <w:p w14:paraId="24E76859">
      <w:pPr>
        <w:widowControl w:val="0"/>
        <w:tabs>
          <w:tab w:val="left" w:pos="39"/>
          <w:tab w:val="left" w:pos="96"/>
        </w:tabs>
        <w:snapToGrid w:val="0"/>
        <w:spacing w:line="360" w:lineRule="auto"/>
        <w:ind w:firstLine="540" w:firstLineChars="225"/>
        <w:rPr>
          <w:rFonts w:ascii="黑体" w:hAnsi="黑体" w:eastAsia="黑体"/>
          <w:color w:val="auto"/>
          <w:sz w:val="28"/>
          <w:szCs w:val="28"/>
          <w:highlight w:val="none"/>
        </w:rPr>
      </w:pPr>
      <w:r>
        <w:rPr>
          <w:rFonts w:hint="eastAsia" w:ascii="宋体" w:hAnsi="宋体" w:cs="宋体"/>
          <w:color w:val="auto"/>
          <w:sz w:val="24"/>
          <w:szCs w:val="24"/>
          <w:highlight w:val="none"/>
        </w:rPr>
        <w:t xml:space="preserve">7.4监督检查提示  </w:t>
      </w:r>
      <w:r>
        <w:rPr>
          <w:rFonts w:hint="eastAsia" w:ascii="黑体" w:hAnsi="黑体" w:eastAsia="黑体"/>
          <w:b/>
          <w:color w:val="auto"/>
          <w:sz w:val="28"/>
          <w:szCs w:val="28"/>
          <w:highlight w:val="none"/>
        </w:rPr>
        <w:t xml:space="preserve"> </w:t>
      </w:r>
    </w:p>
    <w:p w14:paraId="38B5AFA4">
      <w:pPr>
        <w:widowControl w:val="0"/>
        <w:adjustRightInd w:val="0"/>
        <w:snapToGrid w:val="0"/>
        <w:spacing w:line="360" w:lineRule="auto"/>
        <w:ind w:firstLine="540" w:firstLineChars="225"/>
        <w:rPr>
          <w:rFonts w:ascii="宋体"/>
          <w:color w:val="auto"/>
          <w:sz w:val="24"/>
          <w:szCs w:val="24"/>
          <w:highlight w:val="none"/>
        </w:rPr>
      </w:pPr>
      <w:r>
        <w:rPr>
          <w:rFonts w:hint="eastAsia" w:ascii="宋体"/>
          <w:color w:val="auto"/>
          <w:sz w:val="24"/>
          <w:szCs w:val="24"/>
          <w:highlight w:val="none"/>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0466B470">
      <w:pPr>
        <w:widowControl w:val="0"/>
        <w:snapToGrid w:val="0"/>
        <w:spacing w:line="360" w:lineRule="auto"/>
        <w:ind w:firstLine="632" w:firstLineChars="225"/>
        <w:jc w:val="left"/>
        <w:rPr>
          <w:rFonts w:ascii="黑体" w:hAnsi="黑体" w:eastAsia="黑体"/>
          <w:b/>
          <w:color w:val="auto"/>
          <w:sz w:val="28"/>
          <w:szCs w:val="28"/>
          <w:highlight w:val="none"/>
        </w:rPr>
      </w:pPr>
    </w:p>
    <w:p w14:paraId="17BF9BA6">
      <w:pPr>
        <w:widowControl w:val="0"/>
        <w:snapToGrid w:val="0"/>
        <w:spacing w:line="360" w:lineRule="auto"/>
        <w:ind w:firstLine="562" w:firstLineChars="200"/>
        <w:rPr>
          <w:rFonts w:ascii="黑体" w:hAnsi="黑体" w:eastAsia="黑体"/>
          <w:b/>
          <w:color w:val="auto"/>
          <w:sz w:val="28"/>
          <w:szCs w:val="28"/>
          <w:highlight w:val="none"/>
        </w:rPr>
      </w:pPr>
      <w:bookmarkStart w:id="11" w:name="_Toc28359085"/>
      <w:bookmarkStart w:id="12" w:name="_Toc35393796"/>
      <w:bookmarkStart w:id="13" w:name="_Toc28359008"/>
      <w:bookmarkStart w:id="14" w:name="_Toc35393627"/>
      <w:r>
        <w:rPr>
          <w:rFonts w:hint="eastAsia" w:ascii="黑体" w:hAnsi="黑体" w:eastAsia="黑体"/>
          <w:b/>
          <w:color w:val="auto"/>
          <w:sz w:val="28"/>
          <w:szCs w:val="28"/>
          <w:highlight w:val="none"/>
        </w:rPr>
        <w:t>8.对本次招标提出询问，请按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11"/>
      <w:bookmarkEnd w:id="12"/>
      <w:bookmarkEnd w:id="13"/>
      <w:bookmarkEnd w:id="14"/>
    </w:p>
    <w:p w14:paraId="6D508884">
      <w:pPr>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8.1 采购人信息</w:t>
      </w:r>
    </w:p>
    <w:p w14:paraId="2E22AEB0">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名 称：安阳殷墟世界文化遗产保护管理委员会</w:t>
      </w:r>
    </w:p>
    <w:p w14:paraId="47F92B54">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地址：殷都区文源街72号</w:t>
      </w:r>
    </w:p>
    <w:p w14:paraId="137F373E">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 xml:space="preserve">联系人：陈鹏    </w:t>
      </w:r>
    </w:p>
    <w:p w14:paraId="5E2F274C">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 xml:space="preserve">联系方式：18637208393　      </w:t>
      </w:r>
      <w:bookmarkStart w:id="15" w:name="_Toc28359086"/>
      <w:bookmarkStart w:id="16" w:name="_Toc28359009"/>
    </w:p>
    <w:p w14:paraId="55CB623C">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 采购代理机构信息</w:t>
      </w:r>
      <w:bookmarkEnd w:id="15"/>
      <w:bookmarkEnd w:id="16"/>
    </w:p>
    <w:p w14:paraId="5A5C4330">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1515351C">
      <w:pPr>
        <w:spacing w:line="360" w:lineRule="auto"/>
        <w:ind w:left="1798" w:leftChars="399"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04D4D9F8">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30186F54">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w:t>
      </w:r>
      <w:bookmarkStart w:id="17" w:name="_Toc28359087"/>
      <w:bookmarkStart w:id="18" w:name="_Toc28359010"/>
      <w:r>
        <w:rPr>
          <w:rFonts w:hint="eastAsia" w:ascii="宋体" w:hAnsi="宋体"/>
          <w:color w:val="auto"/>
          <w:sz w:val="24"/>
          <w:szCs w:val="24"/>
          <w:highlight w:val="none"/>
        </w:rPr>
        <w:t>0372-2283981、2283982   财务部咨询电话：0372-2283983　</w:t>
      </w:r>
    </w:p>
    <w:p w14:paraId="4BD0E522">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8.3 项目</w:t>
      </w:r>
      <w:r>
        <w:rPr>
          <w:rFonts w:ascii="宋体" w:hAnsi="宋体" w:cs="宋体"/>
          <w:color w:val="auto"/>
          <w:sz w:val="24"/>
          <w:szCs w:val="24"/>
          <w:highlight w:val="none"/>
        </w:rPr>
        <w:t>联系方式</w:t>
      </w:r>
      <w:bookmarkEnd w:id="17"/>
      <w:bookmarkEnd w:id="18"/>
    </w:p>
    <w:p w14:paraId="3048AB6B">
      <w:pPr>
        <w:pStyle w:val="7"/>
        <w:spacing w:line="360" w:lineRule="auto"/>
        <w:ind w:firstLine="840" w:firstLineChars="350"/>
        <w:rPr>
          <w:rFonts w:hAnsi="宋体"/>
          <w:color w:val="auto"/>
          <w:sz w:val="24"/>
          <w:szCs w:val="24"/>
          <w:highlight w:val="none"/>
        </w:rPr>
      </w:pPr>
      <w:r>
        <w:rPr>
          <w:rFonts w:hint="eastAsia" w:hAnsi="宋体"/>
          <w:color w:val="auto"/>
          <w:sz w:val="24"/>
          <w:szCs w:val="24"/>
          <w:highlight w:val="none"/>
        </w:rPr>
        <w:t xml:space="preserve">项目联系人：白杨  </w:t>
      </w:r>
    </w:p>
    <w:p w14:paraId="6EE6A7E4">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w:t>
      </w:r>
      <w:r>
        <w:rPr>
          <w:rFonts w:ascii="宋体" w:hAnsi="宋体"/>
          <w:color w:val="auto"/>
          <w:sz w:val="24"/>
          <w:szCs w:val="24"/>
          <w:highlight w:val="none"/>
        </w:rPr>
        <w:t>1</w:t>
      </w:r>
      <w:r>
        <w:rPr>
          <w:rFonts w:hint="eastAsia" w:ascii="宋体" w:hAnsi="宋体"/>
          <w:color w:val="auto"/>
          <w:sz w:val="24"/>
          <w:szCs w:val="24"/>
          <w:highlight w:val="none"/>
        </w:rPr>
        <w:t>3503729025</w:t>
      </w:r>
    </w:p>
    <w:p w14:paraId="33E4DE32">
      <w:pPr>
        <w:spacing w:line="360" w:lineRule="auto"/>
        <w:ind w:firstLine="840" w:firstLineChars="350"/>
        <w:rPr>
          <w:color w:val="auto"/>
          <w:sz w:val="24"/>
          <w:szCs w:val="24"/>
          <w:highlight w:val="none"/>
        </w:rPr>
      </w:pPr>
    </w:p>
    <w:p w14:paraId="1B480497">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04D10C3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.1注册：投标人完成注册、办理数字证书后，方可获取招标文件、参加投标等网上电子交易。</w:t>
      </w:r>
    </w:p>
    <w:p w14:paraId="7D46813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.2 获取招标文件：按本章第3条“获取招标文件”办理。</w:t>
      </w:r>
    </w:p>
    <w:p w14:paraId="3F46878C">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.3招标文件的澄清与修改或延期的通知：按《招标文件》第三章“投标人须知”第2条“2.4 招标文件的澄清、修改、补充的通知，及相应时间变更”执行。</w:t>
      </w:r>
      <w:r>
        <w:rPr>
          <w:rFonts w:hint="eastAsia" w:ascii="黑体" w:hAnsi="黑体" w:eastAsia="黑体" w:cs="楷体_GB2312"/>
          <w:b/>
          <w:color w:val="auto"/>
          <w:sz w:val="24"/>
          <w:highlight w:val="none"/>
          <w:lang w:val="zh-CN"/>
        </w:rPr>
        <w:t>不另行通知。</w:t>
      </w:r>
    </w:p>
    <w:p w14:paraId="146FBADA">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.4投标文件编制：在殷都区公共资源交易中心网站下载并安装投标文件制作工具、进行编制，按《招标文件》第三章“投标人须知”第3条第7款“3.7投标文件的编制”执行，</w:t>
      </w:r>
      <w:r>
        <w:rPr>
          <w:rFonts w:hint="eastAsia" w:ascii="黑体" w:hAnsi="黑体" w:eastAsia="黑体" w:cs="楷体_GB2312"/>
          <w:b/>
          <w:color w:val="auto"/>
          <w:sz w:val="24"/>
          <w:highlight w:val="none"/>
          <w:lang w:val="zh-CN"/>
        </w:rPr>
        <w:t>否则将会评定为无效投标。</w:t>
      </w:r>
    </w:p>
    <w:p w14:paraId="3522518F">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.5</w:t>
      </w:r>
      <w:r>
        <w:rPr>
          <w:rFonts w:hint="eastAsia" w:ascii="宋体"/>
          <w:color w:val="auto"/>
          <w:sz w:val="24"/>
          <w:szCs w:val="24"/>
          <w:highlight w:val="none"/>
        </w:rPr>
        <w:t>投标文件递交：</w:t>
      </w:r>
      <w:r>
        <w:rPr>
          <w:rFonts w:hint="eastAsia" w:ascii="宋体" w:hAnsi="宋体"/>
          <w:color w:val="auto"/>
          <w:sz w:val="24"/>
          <w:szCs w:val="24"/>
          <w:highlight w:val="none"/>
        </w:rPr>
        <w:t>投标人应在投标截止时间前上传加密的电子投标文件（*.aytf）到殷都区公共资源交易平台，按《招标文件》第三章“投标人须知”第4条 “4. 投标”执行，</w:t>
      </w:r>
      <w:r>
        <w:rPr>
          <w:rFonts w:hint="eastAsia" w:ascii="黑体" w:hAnsi="黑体" w:eastAsia="黑体" w:cs="楷体_GB2312"/>
          <w:b/>
          <w:color w:val="auto"/>
          <w:sz w:val="24"/>
          <w:highlight w:val="none"/>
          <w:lang w:val="zh-CN"/>
        </w:rPr>
        <w:t>否则将会评定为无效投标。</w:t>
      </w:r>
    </w:p>
    <w:p w14:paraId="33EB2E0E">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color w:val="auto"/>
          <w:sz w:val="24"/>
          <w:szCs w:val="24"/>
          <w:highlight w:val="none"/>
        </w:rPr>
        <w:t>9.6投标文件</w:t>
      </w:r>
      <w:r>
        <w:rPr>
          <w:rFonts w:hint="eastAsia" w:ascii="宋体" w:hAnsi="宋体"/>
          <w:color w:val="auto"/>
          <w:sz w:val="24"/>
          <w:szCs w:val="24"/>
          <w:highlight w:val="none"/>
        </w:rPr>
        <w:t>解密</w:t>
      </w:r>
      <w:r>
        <w:rPr>
          <w:rFonts w:hint="eastAsia" w:ascii="宋体"/>
          <w:color w:val="auto"/>
          <w:sz w:val="24"/>
          <w:szCs w:val="24"/>
          <w:highlight w:val="none"/>
        </w:rPr>
        <w:t>：</w:t>
      </w:r>
      <w:r>
        <w:rPr>
          <w:rFonts w:hint="eastAsia"/>
          <w:bCs/>
          <w:color w:val="auto"/>
          <w:sz w:val="24"/>
          <w:szCs w:val="24"/>
          <w:highlight w:val="none"/>
        </w:rPr>
        <w:t>本项目采用远程不见面交易的模式，开标当日，投标人无需到开标现场参加开标会议，投标人应当在投标截止时间前，使用</w:t>
      </w:r>
      <w:r>
        <w:rPr>
          <w:bCs/>
          <w:color w:val="auto"/>
          <w:sz w:val="24"/>
          <w:szCs w:val="24"/>
          <w:highlight w:val="none"/>
        </w:rPr>
        <w:t>IE</w:t>
      </w:r>
      <w:r>
        <w:rPr>
          <w:rFonts w:hint="eastAsia"/>
          <w:bCs/>
          <w:color w:val="auto"/>
          <w:sz w:val="24"/>
          <w:szCs w:val="24"/>
          <w:highlight w:val="none"/>
        </w:rPr>
        <w:t>浏览器登录到安阳市公共资源交易不见面开标大厅，点击右上方【登录】按钮进入，在线准时参加开标活动并进行投标文件解密等。</w:t>
      </w:r>
      <w:r>
        <w:rPr>
          <w:rFonts w:hint="eastAsia" w:ascii="宋体" w:hAnsi="宋体"/>
          <w:color w:val="auto"/>
          <w:sz w:val="24"/>
          <w:szCs w:val="24"/>
          <w:highlight w:val="none"/>
        </w:rPr>
        <w:t xml:space="preserve">按《招标文件》第三章“投标人须知”第5条“5 </w:t>
      </w:r>
      <w:r>
        <w:rPr>
          <w:rFonts w:hint="eastAsia" w:ascii="宋体"/>
          <w:color w:val="auto"/>
          <w:sz w:val="24"/>
          <w:szCs w:val="24"/>
          <w:highlight w:val="none"/>
        </w:rPr>
        <w:t>开标</w:t>
      </w:r>
      <w:r>
        <w:rPr>
          <w:rFonts w:hint="eastAsia" w:ascii="宋体" w:hAnsi="宋体"/>
          <w:color w:val="auto"/>
          <w:sz w:val="24"/>
          <w:szCs w:val="24"/>
          <w:highlight w:val="none"/>
        </w:rPr>
        <w:t>”执行，</w:t>
      </w:r>
      <w:r>
        <w:rPr>
          <w:rFonts w:hint="eastAsia" w:ascii="宋体" w:hAnsi="宋体" w:cs="楷体_GB2312"/>
          <w:color w:val="auto"/>
          <w:sz w:val="24"/>
          <w:highlight w:val="none"/>
          <w:lang w:val="zh-CN"/>
        </w:rPr>
        <w:t>否则其投标将不能被接受。</w:t>
      </w:r>
    </w:p>
    <w:p w14:paraId="5F949925">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9.7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6473FBC8">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624AB9A0">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080A3CDF">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9.8政府采购电子交易中，投标人网上电子交易的系统操作规则应以安阳市公共资源交易平台即时发布的相关规则为准。</w:t>
      </w:r>
    </w:p>
    <w:p w14:paraId="1CDE9E6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9.9望投标人充分熟悉网上电子交易操作流程、以便有效投标。</w:t>
      </w:r>
    </w:p>
    <w:p w14:paraId="2EC6C07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bCs/>
          <w:color w:val="auto"/>
          <w:sz w:val="24"/>
          <w:szCs w:val="24"/>
          <w:highlight w:val="none"/>
        </w:rPr>
        <w:t xml:space="preserve">9.10 </w:t>
      </w:r>
      <w:r>
        <w:rPr>
          <w:rFonts w:hint="eastAsia"/>
          <w:bCs/>
          <w:color w:val="auto"/>
          <w:sz w:val="24"/>
          <w:szCs w:val="24"/>
          <w:highlight w:val="none"/>
        </w:rPr>
        <w:t>如遇到网上系统操作等技术问题请咨询</w:t>
      </w:r>
      <w:r>
        <w:rPr>
          <w:rFonts w:hint="eastAsia" w:ascii="宋体" w:hAnsi="宋体"/>
          <w:color w:val="auto"/>
          <w:sz w:val="24"/>
          <w:szCs w:val="24"/>
          <w:highlight w:val="none"/>
        </w:rPr>
        <w:t>400-998-0000、0372-3387739。</w:t>
      </w:r>
    </w:p>
    <w:p w14:paraId="3394809C">
      <w:pPr>
        <w:widowControl w:val="0"/>
        <w:tabs>
          <w:tab w:val="left" w:pos="39"/>
          <w:tab w:val="left" w:pos="96"/>
        </w:tabs>
        <w:snapToGrid w:val="0"/>
        <w:spacing w:line="360" w:lineRule="auto"/>
        <w:ind w:firstLine="540" w:firstLineChars="225"/>
        <w:rPr>
          <w:rFonts w:ascii="宋体"/>
          <w:color w:val="auto"/>
          <w:sz w:val="24"/>
          <w:szCs w:val="24"/>
          <w:highlight w:val="none"/>
        </w:rPr>
      </w:pPr>
    </w:p>
    <w:p w14:paraId="3AAB4EE9">
      <w:pPr>
        <w:widowControl w:val="0"/>
        <w:tabs>
          <w:tab w:val="left" w:pos="39"/>
          <w:tab w:val="left" w:pos="96"/>
        </w:tabs>
        <w:snapToGrid w:val="0"/>
        <w:spacing w:line="360" w:lineRule="auto"/>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11F3354F">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二〇二五年</w:t>
      </w:r>
      <w:r>
        <w:rPr>
          <w:rFonts w:hint="eastAsia" w:ascii="宋体"/>
          <w:color w:val="auto"/>
          <w:sz w:val="24"/>
          <w:szCs w:val="24"/>
          <w:highlight w:val="none"/>
          <w:lang w:val="en-US" w:eastAsia="zh-CN"/>
        </w:rPr>
        <w:t>三</w:t>
      </w:r>
      <w:r>
        <w:rPr>
          <w:rFonts w:hint="eastAsia" w:ascii="宋体"/>
          <w:color w:val="auto"/>
          <w:sz w:val="24"/>
          <w:szCs w:val="24"/>
          <w:highlight w:val="none"/>
        </w:rPr>
        <w:t>月</w:t>
      </w:r>
      <w:r>
        <w:rPr>
          <w:rFonts w:hint="eastAsia" w:ascii="宋体"/>
          <w:color w:val="auto"/>
          <w:sz w:val="24"/>
          <w:szCs w:val="24"/>
          <w:highlight w:val="none"/>
          <w:lang w:val="en-US" w:eastAsia="zh-CN"/>
        </w:rPr>
        <w:t>十二</w:t>
      </w:r>
      <w:r>
        <w:rPr>
          <w:rFonts w:hint="eastAsia" w:ascii="宋体"/>
          <w:color w:val="auto"/>
          <w:sz w:val="24"/>
          <w:szCs w:val="24"/>
          <w:highlight w:val="none"/>
        </w:rPr>
        <w:t>日</w:t>
      </w:r>
    </w:p>
    <w:p w14:paraId="1F802A48">
      <w:pPr>
        <w:widowControl w:val="0"/>
        <w:tabs>
          <w:tab w:val="left" w:pos="39"/>
          <w:tab w:val="left" w:pos="96"/>
        </w:tabs>
        <w:snapToGrid w:val="0"/>
        <w:spacing w:line="360" w:lineRule="auto"/>
        <w:ind w:firstLine="630" w:firstLineChars="225"/>
        <w:rPr>
          <w:rFonts w:eastAsia="方正黑体简体"/>
          <w:color w:val="auto"/>
          <w:sz w:val="28"/>
          <w:szCs w:val="28"/>
          <w:highlight w:val="none"/>
        </w:rPr>
      </w:pPr>
      <w:r>
        <w:rPr>
          <w:rFonts w:eastAsia="方正黑体简体"/>
          <w:color w:val="auto"/>
          <w:sz w:val="28"/>
          <w:szCs w:val="28"/>
          <w:highlight w:val="none"/>
        </w:rPr>
        <w:br w:type="page"/>
      </w:r>
    </w:p>
    <w:p w14:paraId="144E8A69">
      <w:pPr>
        <w:widowControl w:val="0"/>
        <w:snapToGrid w:val="0"/>
        <w:spacing w:line="360" w:lineRule="auto"/>
        <w:jc w:val="center"/>
        <w:outlineLvl w:val="0"/>
        <w:rPr>
          <w:rFonts w:eastAsia="方正黑体简体"/>
          <w:color w:val="auto"/>
          <w:sz w:val="36"/>
          <w:szCs w:val="36"/>
          <w:highlight w:val="none"/>
        </w:rPr>
      </w:pPr>
      <w:bookmarkStart w:id="19" w:name="_Toc186018358"/>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招标项目要求及采购需求</w:t>
      </w:r>
      <w:bookmarkEnd w:id="19"/>
    </w:p>
    <w:p w14:paraId="63C77060">
      <w:pPr>
        <w:widowControl w:val="0"/>
        <w:snapToGrid w:val="0"/>
        <w:spacing w:line="360" w:lineRule="auto"/>
        <w:rPr>
          <w:b/>
          <w:color w:val="auto"/>
          <w:sz w:val="28"/>
          <w:highlight w:val="none"/>
        </w:rPr>
      </w:pPr>
    </w:p>
    <w:p w14:paraId="0AD1D119">
      <w:pPr>
        <w:widowControl w:val="0"/>
        <w:snapToGrid w:val="0"/>
        <w:spacing w:line="360" w:lineRule="auto"/>
        <w:ind w:firstLine="422" w:firstLineChars="150"/>
        <w:jc w:val="left"/>
        <w:outlineLvl w:val="1"/>
        <w:rPr>
          <w:rFonts w:ascii="黑体" w:hAnsi="黑体" w:eastAsia="黑体"/>
          <w:b/>
          <w:color w:val="auto"/>
          <w:sz w:val="28"/>
          <w:highlight w:val="none"/>
        </w:rPr>
      </w:pPr>
      <w:bookmarkStart w:id="20" w:name="_Toc186018359"/>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20"/>
    </w:p>
    <w:p w14:paraId="414FD755">
      <w:pPr>
        <w:widowControl w:val="0"/>
        <w:adjustRightInd w:val="0"/>
        <w:snapToGrid w:val="0"/>
        <w:spacing w:line="360" w:lineRule="auto"/>
        <w:ind w:firstLine="542" w:firstLineChars="225"/>
        <w:jc w:val="left"/>
        <w:rPr>
          <w:rFonts w:ascii="宋体" w:hAnsi="宋体"/>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招标项目名称</w:t>
      </w:r>
      <w:r>
        <w:rPr>
          <w:rFonts w:hint="eastAsia"/>
          <w:color w:val="auto"/>
          <w:sz w:val="24"/>
          <w:szCs w:val="24"/>
          <w:highlight w:val="none"/>
        </w:rPr>
        <w:t>：</w:t>
      </w:r>
      <w:r>
        <w:rPr>
          <w:rFonts w:ascii="宋体" w:hAnsi="宋体"/>
          <w:color w:val="auto"/>
          <w:sz w:val="24"/>
          <w:szCs w:val="24"/>
          <w:highlight w:val="none"/>
        </w:rPr>
        <w:t>安阳殷墟世界文化遗产保护管理委员会安阳市殷墟遗址保护区智慧技术安全防范运行维护服务项目</w:t>
      </w:r>
    </w:p>
    <w:p w14:paraId="4C122356">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：本次招标项目划分为</w:t>
      </w:r>
      <w:r>
        <w:rPr>
          <w:color w:val="auto"/>
          <w:sz w:val="24"/>
          <w:szCs w:val="24"/>
          <w:highlight w:val="none"/>
        </w:rPr>
        <w:t>1</w:t>
      </w:r>
      <w:r>
        <w:rPr>
          <w:rFonts w:hint="eastAsia"/>
          <w:color w:val="auto"/>
          <w:sz w:val="24"/>
          <w:szCs w:val="24"/>
          <w:highlight w:val="none"/>
        </w:rPr>
        <w:t>个标段（包）。</w:t>
      </w:r>
    </w:p>
    <w:tbl>
      <w:tblPr>
        <w:tblStyle w:val="1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765"/>
        <w:gridCol w:w="2443"/>
        <w:gridCol w:w="2036"/>
        <w:gridCol w:w="1325"/>
      </w:tblGrid>
      <w:tr w14:paraId="059C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40" w:type="dxa"/>
            <w:gridSpan w:val="5"/>
            <w:vAlign w:val="center"/>
          </w:tcPr>
          <w:p w14:paraId="1540DF2B">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565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71" w:type="dxa"/>
            <w:vAlign w:val="center"/>
          </w:tcPr>
          <w:p w14:paraId="08958B44">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765" w:type="dxa"/>
            <w:vAlign w:val="center"/>
          </w:tcPr>
          <w:p w14:paraId="42D18B7E">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443" w:type="dxa"/>
            <w:vAlign w:val="center"/>
          </w:tcPr>
          <w:p w14:paraId="547947F3">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2036" w:type="dxa"/>
            <w:vAlign w:val="center"/>
          </w:tcPr>
          <w:p w14:paraId="0B86E661">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768286A2">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（交付&lt;实施&gt;期）</w:t>
            </w:r>
          </w:p>
        </w:tc>
        <w:tc>
          <w:tcPr>
            <w:tcW w:w="1325" w:type="dxa"/>
            <w:vAlign w:val="center"/>
          </w:tcPr>
          <w:p w14:paraId="4CD01882">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交付（实施）地点</w:t>
            </w:r>
          </w:p>
        </w:tc>
      </w:tr>
      <w:tr w14:paraId="43BA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2171" w:type="dxa"/>
            <w:vAlign w:val="center"/>
          </w:tcPr>
          <w:p w14:paraId="4262D684">
            <w:pPr>
              <w:widowControl w:val="0"/>
              <w:adjustRightInd w:val="0"/>
              <w:snapToGrid w:val="0"/>
              <w:spacing w:line="240" w:lineRule="auto"/>
              <w:rPr>
                <w:color w:val="auto"/>
                <w:sz w:val="24"/>
                <w:szCs w:val="24"/>
                <w:highlight w:val="none"/>
              </w:rPr>
            </w:pPr>
            <w:r>
              <w:rPr>
                <w:rFonts w:hint="eastAsia"/>
                <w:color w:val="auto"/>
                <w:sz w:val="24"/>
                <w:szCs w:val="24"/>
                <w:highlight w:val="none"/>
              </w:rPr>
              <w:t>安阳殷墟世界文化遗产保护管理委员会安阳市殷墟遗址保护区智慧技术安全防范运行维护服务项目</w:t>
            </w:r>
          </w:p>
        </w:tc>
        <w:tc>
          <w:tcPr>
            <w:tcW w:w="1765" w:type="dxa"/>
            <w:vAlign w:val="center"/>
          </w:tcPr>
          <w:p w14:paraId="2B0458DC">
            <w:pPr>
              <w:widowControl w:val="0"/>
              <w:adjustRightInd w:val="0"/>
              <w:snapToGrid w:val="0"/>
              <w:spacing w:line="240" w:lineRule="auto"/>
              <w:rPr>
                <w:color w:val="auto"/>
                <w:sz w:val="24"/>
                <w:szCs w:val="24"/>
                <w:highlight w:val="none"/>
              </w:rPr>
            </w:pPr>
            <w:r>
              <w:rPr>
                <w:rFonts w:hint="eastAsia"/>
                <w:color w:val="auto"/>
                <w:sz w:val="24"/>
                <w:szCs w:val="24"/>
                <w:highlight w:val="none"/>
              </w:rPr>
              <w:t>同项目名称</w:t>
            </w:r>
          </w:p>
        </w:tc>
        <w:tc>
          <w:tcPr>
            <w:tcW w:w="2443" w:type="dxa"/>
            <w:vAlign w:val="center"/>
          </w:tcPr>
          <w:p w14:paraId="5B17BB09">
            <w:pPr>
              <w:widowControl w:val="0"/>
              <w:adjustRightInd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条：标段（包）内容（范围）及具体采购需求”</w:t>
            </w:r>
          </w:p>
        </w:tc>
        <w:tc>
          <w:tcPr>
            <w:tcW w:w="2036" w:type="dxa"/>
            <w:vAlign w:val="center"/>
          </w:tcPr>
          <w:p w14:paraId="1D9473A5">
            <w:pPr>
              <w:widowControl w:val="0"/>
              <w:snapToGrid w:val="0"/>
              <w:spacing w:line="240" w:lineRule="auto"/>
              <w:rPr>
                <w:color w:val="auto"/>
                <w:sz w:val="24"/>
                <w:szCs w:val="24"/>
                <w:highlight w:val="none"/>
              </w:rPr>
            </w:pPr>
            <w:r>
              <w:rPr>
                <w:rFonts w:hint="eastAsia"/>
                <w:color w:val="auto"/>
                <w:sz w:val="24"/>
                <w:szCs w:val="24"/>
                <w:highlight w:val="none"/>
              </w:rPr>
              <w:t>合同签订日起</w:t>
            </w:r>
          </w:p>
          <w:p w14:paraId="06DA9F39">
            <w:pPr>
              <w:widowControl w:val="0"/>
              <w:adjustRightInd w:val="0"/>
              <w:snapToGrid w:val="0"/>
              <w:spacing w:line="240" w:lineRule="auto"/>
              <w:rPr>
                <w:color w:val="auto"/>
                <w:sz w:val="24"/>
                <w:szCs w:val="24"/>
                <w:highlight w:val="none"/>
              </w:rPr>
            </w:pPr>
            <w:r>
              <w:rPr>
                <w:rFonts w:hint="eastAsia"/>
                <w:color w:val="auto"/>
                <w:sz w:val="24"/>
                <w:szCs w:val="24"/>
                <w:highlight w:val="none"/>
              </w:rPr>
              <w:t>(</w:t>
            </w:r>
            <w:r>
              <w:rPr>
                <w:rFonts w:hint="eastAsia"/>
                <w:color w:val="auto"/>
                <w:sz w:val="24"/>
                <w:szCs w:val="24"/>
                <w:highlight w:val="none"/>
                <w:u w:val="single"/>
              </w:rPr>
              <w:t>招标公告1.6所述期限</w:t>
            </w:r>
            <w:r>
              <w:rPr>
                <w:rFonts w:hint="eastAsia"/>
                <w:color w:val="auto"/>
                <w:sz w:val="24"/>
                <w:szCs w:val="24"/>
                <w:highlight w:val="none"/>
              </w:rPr>
              <w:t>)内</w:t>
            </w:r>
          </w:p>
        </w:tc>
        <w:tc>
          <w:tcPr>
            <w:tcW w:w="1325" w:type="dxa"/>
            <w:vAlign w:val="center"/>
          </w:tcPr>
          <w:p w14:paraId="6DB83528">
            <w:pPr>
              <w:widowControl w:val="0"/>
              <w:adjustRightInd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080294F9">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14:paraId="258A3DFD">
      <w:pPr>
        <w:widowControl w:val="0"/>
        <w:snapToGrid w:val="0"/>
        <w:spacing w:line="360" w:lineRule="auto"/>
        <w:ind w:firstLine="480" w:firstLineChars="200"/>
        <w:jc w:val="left"/>
        <w:rPr>
          <w:color w:val="auto"/>
          <w:sz w:val="24"/>
          <w:szCs w:val="24"/>
          <w:highlight w:val="none"/>
        </w:rPr>
      </w:pPr>
      <w:r>
        <w:rPr>
          <w:color w:val="auto"/>
          <w:sz w:val="24"/>
          <w:szCs w:val="24"/>
          <w:highlight w:val="none"/>
        </w:rPr>
        <w:t>1.3.1</w:t>
      </w:r>
      <w:r>
        <w:rPr>
          <w:rFonts w:hint="eastAsia"/>
          <w:color w:val="auto"/>
          <w:sz w:val="24"/>
          <w:szCs w:val="24"/>
          <w:highlight w:val="none"/>
        </w:rPr>
        <w:t>投标人的投标报价应为达到服务要求下的目的地交验价，包括人工费、设备材料费、相关税费、交通费、材料费、知识产权（如有）、保险（如需）、所涉货物包装、技术服务费、专用网络线路网费、电费等与招标项目（标段&lt;包&gt;）相关的、必须的款项及费用（包括未列明而完成交验所必须的所有费用、材料、工具、设施）。</w:t>
      </w:r>
      <w:r>
        <w:rPr>
          <w:rFonts w:hint="eastAsia" w:ascii="宋体" w:hAnsi="宋体"/>
          <w:color w:val="auto"/>
          <w:sz w:val="24"/>
          <w:szCs w:val="24"/>
          <w:highlight w:val="none"/>
        </w:rPr>
        <w:t>中标价格在中标合同范围内固定不变。</w:t>
      </w:r>
    </w:p>
    <w:p w14:paraId="6B8625FB">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投标报价为一次性报价，报价时间截止后对投标报价的任何承诺、修改，除法定修正或招标文件规定修正情形外，评标委员会将不予考虑。</w:t>
      </w:r>
    </w:p>
    <w:p w14:paraId="3DDC2F66">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（见招标公告</w:t>
      </w:r>
      <w:r>
        <w:rPr>
          <w:color w:val="auto"/>
          <w:sz w:val="24"/>
          <w:szCs w:val="24"/>
          <w:highlight w:val="none"/>
        </w:rPr>
        <w:t>1.</w:t>
      </w:r>
      <w:r>
        <w:rPr>
          <w:rFonts w:hint="eastAsia"/>
          <w:color w:val="auto"/>
          <w:sz w:val="24"/>
          <w:szCs w:val="24"/>
          <w:highlight w:val="none"/>
        </w:rPr>
        <w:t>4）的供应商不足三家的，该标段（包）做废标处理。</w:t>
      </w:r>
    </w:p>
    <w:p w14:paraId="51A109B3">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w:t>
      </w:r>
      <w:r>
        <w:rPr>
          <w:rFonts w:hint="eastAsia"/>
          <w:color w:val="auto"/>
          <w:sz w:val="24"/>
          <w:szCs w:val="24"/>
          <w:highlight w:val="none"/>
        </w:rPr>
        <w:t>5项规定。</w:t>
      </w:r>
    </w:p>
    <w:p w14:paraId="08146DC5">
      <w:pPr>
        <w:spacing w:line="560" w:lineRule="exact"/>
        <w:ind w:firstLine="562" w:firstLineChars="200"/>
        <w:rPr>
          <w:rFonts w:ascii="黑体" w:hAnsi="黑体" w:eastAsia="黑体"/>
          <w:b/>
          <w:color w:val="auto"/>
          <w:sz w:val="28"/>
          <w:highlight w:val="none"/>
        </w:rPr>
      </w:pPr>
    </w:p>
    <w:p w14:paraId="038853DE">
      <w:pPr>
        <w:spacing w:line="560" w:lineRule="exact"/>
        <w:ind w:firstLine="562" w:firstLineChars="200"/>
        <w:outlineLvl w:val="1"/>
        <w:rPr>
          <w:rFonts w:ascii="黑体" w:hAnsi="黑体" w:eastAsia="黑体"/>
          <w:b/>
          <w:color w:val="auto"/>
          <w:sz w:val="28"/>
          <w:highlight w:val="none"/>
        </w:rPr>
      </w:pPr>
      <w:bookmarkStart w:id="21" w:name="_Toc186018360"/>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21"/>
    </w:p>
    <w:p w14:paraId="1BB16468">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采购标的需实现的功能或者目标，标段（包）总体范围：</w:t>
      </w:r>
      <w:r>
        <w:rPr>
          <w:color w:val="auto"/>
          <w:sz w:val="24"/>
          <w:szCs w:val="24"/>
          <w:highlight w:val="none"/>
        </w:rPr>
        <w:t xml:space="preserve"> </w:t>
      </w:r>
    </w:p>
    <w:p w14:paraId="240BEB3B">
      <w:pPr>
        <w:spacing w:line="360" w:lineRule="auto"/>
        <w:ind w:left="61" w:firstLine="49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满足采购人正常工作需要。</w:t>
      </w:r>
    </w:p>
    <w:p w14:paraId="02EBE472">
      <w:pPr>
        <w:spacing w:line="360" w:lineRule="auto"/>
        <w:ind w:left="61" w:firstLine="49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中标人负责安阳市殷墟遗址保护区智慧技术安全防范运行维护服务3年。主要包括殷墟遗址保护区内的田野文物保护区智慧技术安全防范系统和文物遗址保护区智慧技术安全防范系统的故障排查、维修、维护、专用网络线路网费、电费和运维服务等内容，确保区域视频监控等设备正常运行。</w:t>
      </w:r>
    </w:p>
    <w:p w14:paraId="36A92E81">
      <w:pPr>
        <w:adjustRightInd w:val="0"/>
        <w:snapToGrid w:val="0"/>
        <w:spacing w:line="300" w:lineRule="auto"/>
        <w:ind w:firstLine="602" w:firstLineChars="250"/>
        <w:jc w:val="left"/>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23532C54">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7FAA7B1A">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7389B468">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3E6C6CAC">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564BDA39">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66619A6E">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52988C0F">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4D16F26C">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581448B6">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26B9A001">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2BF254B6">
      <w:pPr>
        <w:adjustRightInd w:val="0"/>
        <w:snapToGrid w:val="0"/>
        <w:spacing w:before="156" w:beforeLines="50" w:line="300" w:lineRule="auto"/>
        <w:ind w:firstLine="480" w:firstLineChars="200"/>
        <w:rPr>
          <w:rFonts w:ascii="宋体" w:cs="宋体"/>
          <w:color w:val="auto"/>
          <w:sz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3436AF95">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2EF55548">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招标文件未列明事项为由，来降低投标服务（及所涉货物材料设施）的质量。</w:t>
      </w:r>
    </w:p>
    <w:p w14:paraId="6195CCA4">
      <w:pPr>
        <w:spacing w:line="560" w:lineRule="exact"/>
        <w:ind w:firstLine="482" w:firstLineChars="200"/>
        <w:rPr>
          <w:rFonts w:ascii="宋体" w:hAnsi="宋体" w:cs="宋体"/>
          <w:color w:val="auto"/>
          <w:sz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标段（包）内容（具体范围、数量），具体服务（技术）要求（</w:t>
      </w:r>
      <w:r>
        <w:rPr>
          <w:rFonts w:hint="eastAsia" w:ascii="宋体" w:hAnsi="宋体" w:cs="宋体"/>
          <w:color w:val="auto"/>
          <w:sz w:val="24"/>
          <w:highlight w:val="none"/>
        </w:rPr>
        <w:t>采购标的需满足的质量、安全、技术规格、物理特性等）</w:t>
      </w:r>
    </w:p>
    <w:p w14:paraId="1655C76C">
      <w:pPr>
        <w:spacing w:line="560" w:lineRule="exact"/>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一、服务内容及要求</w:t>
      </w:r>
    </w:p>
    <w:p w14:paraId="6C434A70">
      <w:pPr>
        <w:spacing w:line="360" w:lineRule="auto"/>
        <w:ind w:left="61" w:firstLine="493"/>
        <w:rPr>
          <w:rFonts w:cs="仿宋" w:asciiTheme="minorEastAsia" w:hAnsiTheme="minorEastAsia" w:eastAsiaTheme="minorEastAsia"/>
          <w:color w:val="auto"/>
          <w:sz w:val="24"/>
          <w:szCs w:val="24"/>
          <w:highlight w:val="none"/>
        </w:rPr>
      </w:pPr>
      <w:r>
        <w:rPr>
          <w:rFonts w:cs="仿宋" w:asciiTheme="minorEastAsia" w:hAnsiTheme="minorEastAsia" w:eastAsiaTheme="minorEastAsia"/>
          <w:color w:val="auto"/>
          <w:sz w:val="24"/>
          <w:szCs w:val="24"/>
          <w:highlight w:val="none"/>
        </w:rPr>
        <w:t>本项服务内容主要包括</w:t>
      </w:r>
      <w:r>
        <w:rPr>
          <w:rFonts w:hint="eastAsia" w:cs="仿宋" w:asciiTheme="minorEastAsia" w:hAnsiTheme="minorEastAsia" w:eastAsiaTheme="minorEastAsia"/>
          <w:color w:val="auto"/>
          <w:sz w:val="24"/>
          <w:szCs w:val="24"/>
          <w:highlight w:val="none"/>
        </w:rPr>
        <w:t>殷墟遗址保护区内的田野文物保护区智慧技术安全防范系统和文物遗址保护区（殷墟宫殿宗庙遗址、原殷墟地下博物馆、殷墟王陵遗址）智慧技术安全防范系统</w:t>
      </w:r>
      <w:r>
        <w:rPr>
          <w:rFonts w:cs="仿宋" w:asciiTheme="minorEastAsia" w:hAnsiTheme="minorEastAsia" w:eastAsiaTheme="minorEastAsia"/>
          <w:color w:val="auto"/>
          <w:sz w:val="24"/>
          <w:szCs w:val="24"/>
          <w:highlight w:val="none"/>
        </w:rPr>
        <w:t>的故障排查、维修、维护、</w:t>
      </w:r>
      <w:r>
        <w:rPr>
          <w:rFonts w:hint="eastAsia" w:cs="仿宋" w:asciiTheme="minorEastAsia" w:hAnsiTheme="minorEastAsia" w:eastAsiaTheme="minorEastAsia"/>
          <w:color w:val="auto"/>
          <w:sz w:val="24"/>
          <w:szCs w:val="24"/>
          <w:highlight w:val="none"/>
        </w:rPr>
        <w:t>专用网络</w:t>
      </w:r>
      <w:r>
        <w:rPr>
          <w:rFonts w:cs="仿宋" w:asciiTheme="minorEastAsia" w:hAnsiTheme="minorEastAsia" w:eastAsiaTheme="minorEastAsia"/>
          <w:color w:val="auto"/>
          <w:sz w:val="24"/>
          <w:szCs w:val="24"/>
          <w:highlight w:val="none"/>
        </w:rPr>
        <w:t>线路网费、电费</w:t>
      </w:r>
      <w:r>
        <w:rPr>
          <w:rFonts w:hint="eastAsia" w:cs="仿宋" w:asciiTheme="minorEastAsia" w:hAnsiTheme="minorEastAsia" w:eastAsiaTheme="minorEastAsia"/>
          <w:color w:val="auto"/>
          <w:sz w:val="24"/>
          <w:szCs w:val="24"/>
          <w:highlight w:val="none"/>
        </w:rPr>
        <w:t>（田野文物保护区智慧技术安全防范系统）</w:t>
      </w:r>
      <w:r>
        <w:rPr>
          <w:rFonts w:cs="仿宋" w:asciiTheme="minorEastAsia" w:hAnsiTheme="minorEastAsia" w:eastAsiaTheme="minorEastAsia"/>
          <w:color w:val="auto"/>
          <w:sz w:val="24"/>
          <w:szCs w:val="24"/>
          <w:highlight w:val="none"/>
        </w:rPr>
        <w:t>和运维服务等内容，确保区域视频监控设备正常运行，视频在线率达到9</w:t>
      </w:r>
      <w:r>
        <w:rPr>
          <w:rFonts w:hint="eastAsia" w:cs="仿宋" w:asciiTheme="minorEastAsia" w:hAnsiTheme="minorEastAsia" w:eastAsiaTheme="minorEastAsia"/>
          <w:color w:val="auto"/>
          <w:sz w:val="24"/>
          <w:szCs w:val="24"/>
          <w:highlight w:val="none"/>
        </w:rPr>
        <w:t>8</w:t>
      </w:r>
      <w:r>
        <w:rPr>
          <w:rFonts w:cs="仿宋" w:asciiTheme="minorEastAsia" w:hAnsiTheme="minorEastAsia" w:eastAsiaTheme="minorEastAsia"/>
          <w:color w:val="auto"/>
          <w:sz w:val="24"/>
          <w:szCs w:val="24"/>
          <w:highlight w:val="none"/>
        </w:rPr>
        <w:t>%以上</w:t>
      </w:r>
      <w:r>
        <w:rPr>
          <w:rFonts w:hint="eastAsia" w:cs="仿宋" w:asciiTheme="minorEastAsia" w:hAnsiTheme="minorEastAsia" w:eastAsiaTheme="minorEastAsia"/>
          <w:color w:val="auto"/>
          <w:sz w:val="24"/>
          <w:szCs w:val="24"/>
          <w:highlight w:val="none"/>
        </w:rPr>
        <w:t>（同一点位不得长时间离线）</w:t>
      </w:r>
      <w:r>
        <w:rPr>
          <w:rFonts w:cs="仿宋" w:asciiTheme="minorEastAsia" w:hAnsiTheme="minorEastAsia" w:eastAsiaTheme="minorEastAsia"/>
          <w:color w:val="auto"/>
          <w:sz w:val="24"/>
          <w:szCs w:val="24"/>
          <w:highlight w:val="none"/>
        </w:rPr>
        <w:t>。</w:t>
      </w:r>
    </w:p>
    <w:p w14:paraId="7CDFE3FC">
      <w:pPr>
        <w:spacing w:line="360" w:lineRule="auto"/>
        <w:ind w:left="61" w:firstLine="49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（一）项目</w:t>
      </w:r>
      <w:r>
        <w:rPr>
          <w:rFonts w:cs="仿宋" w:asciiTheme="minorEastAsia" w:hAnsiTheme="minorEastAsia" w:eastAsiaTheme="minorEastAsia"/>
          <w:color w:val="auto"/>
          <w:sz w:val="24"/>
          <w:szCs w:val="24"/>
          <w:highlight w:val="none"/>
        </w:rPr>
        <w:t>运维</w:t>
      </w:r>
      <w:r>
        <w:rPr>
          <w:rFonts w:hint="eastAsia" w:cs="仿宋" w:asciiTheme="minorEastAsia" w:hAnsiTheme="minorEastAsia" w:eastAsiaTheme="minorEastAsia"/>
          <w:color w:val="auto"/>
          <w:sz w:val="24"/>
          <w:szCs w:val="24"/>
          <w:highlight w:val="none"/>
        </w:rPr>
        <w:t>基本范围</w:t>
      </w:r>
    </w:p>
    <w:p w14:paraId="19CA7821">
      <w:pPr>
        <w:spacing w:line="360" w:lineRule="auto"/>
        <w:ind w:left="61" w:firstLine="49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殷墟遗址保护区内的田野文物保护区智慧技术安全防范系统和文物遗址保护区（殷墟宫殿宗庙遗址、原殷墟地下博物馆、殷墟王陵遗址）智慧技术安全防范系统，包括安防监控中心：一级安防指挥中心、二级安防分控中心（殷墟宫殿宗庙遗址、原殷墟地下博物馆、殷墟王陵遗址分控中心）。</w:t>
      </w:r>
    </w:p>
    <w:p w14:paraId="60E74702">
      <w:pPr>
        <w:spacing w:line="360" w:lineRule="auto"/>
        <w:ind w:left="61" w:firstLine="49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田野文物保护区智慧技术安全防范系统：包括田野文物地面防护感知网、田野文物高空防护感知网、传输网络、综合安防应用管理平台、三维实景倾斜摄影地图、智能运维管理系统、安全管控系统、田野文物巡查管理系统、应急指挥车、殷墟文物遗址保护区指挥中心等系统。主要设备为：地面防护感知网（55路卡口摄像机，29路球机，58路人脸抓拍机，120路微卡口摄像机）、高空防护感知网（50路高空热成像摄像机）、综合安防应用管理平台、三维实景倾斜摄影地图（1架六旋翼无人机，1台五相机）、智能运维管理系统、安全管控系统、田野文物巡查管理系统（30台巡更棒）、应急指挥车、殷墟文物遗址保护区指挥中心（68平米LED屏、各系统平台服务器、3台机房空调、UPS不间断电源、指挥大厅控制台及座椅、会议室98寸显示器）等所有设施设备。</w:t>
      </w:r>
    </w:p>
    <w:p w14:paraId="2BAB4563">
      <w:pPr>
        <w:spacing w:line="360" w:lineRule="auto"/>
        <w:ind w:left="61" w:firstLine="493"/>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文物遗址保护区（殷墟宫殿宗庙遗址、王陵遗址、原殷墟地下博物馆）建设技防系统：视频监控系统（宫殿239路，王陵127路，地下博物馆108路）、入侵报警系统（宫殿113路，王陵46路，地下博物馆217路）、出入口控制系统（宫殿3套，王陵3套，地下博物馆27套）、智能预警及声音复核系统（宫殿20路，王陵14路，地下博物馆35路）、电子巡更与通讯系统（宫殿1套，王陵1套，地下博物馆1套）、数字IP网络广播系统（宫殿35路，王陵18路）、安防分控中心（LCD液晶拼接屏、各系统平台服务器、机房空调、UPS不间断电源、安防操作台及座椅）、周界防护铁艺护栏等所有设施设备。</w:t>
      </w:r>
    </w:p>
    <w:p w14:paraId="255DC310">
      <w:pPr>
        <w:spacing w:line="360" w:lineRule="auto"/>
        <w:ind w:left="61" w:firstLine="493"/>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3、专用网络：20M带宽（卡口、微卡口）149条、100M带宽（高空）29条、10G带宽（指挥中心至市公安局互联上传）2条、1G带宽（3个分控中心互联上传）6条、20M互联网（巡查系统专线）4条、通讯SIM卡（巡查巡更棒\指挥车使用）9张、高空瞭望铁塔租赁29处等。 </w:t>
      </w:r>
    </w:p>
    <w:p w14:paraId="4CD13FC6">
      <w:pPr>
        <w:spacing w:line="360" w:lineRule="auto"/>
        <w:ind w:left="61" w:firstLine="493"/>
        <w:rPr>
          <w:rFonts w:hint="eastAsia"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lang w:val="en-US" w:eastAsia="zh-CN"/>
        </w:rPr>
        <w:t>4、现有系统清单</w:t>
      </w:r>
    </w:p>
    <w:tbl>
      <w:tblPr>
        <w:tblStyle w:val="18"/>
        <w:tblpPr w:leftFromText="180" w:rightFromText="180" w:vertAnchor="text" w:horzAnchor="page" w:tblpXSpec="center" w:tblpY="446"/>
        <w:tblOverlap w:val="never"/>
        <w:tblW w:w="9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1826"/>
        <w:gridCol w:w="4455"/>
        <w:gridCol w:w="2479"/>
      </w:tblGrid>
      <w:tr w14:paraId="5329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D2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color="000000"/>
                <w:lang w:val="en-US" w:eastAsia="zh-CN" w:bidi="ar"/>
              </w:rPr>
              <w:t>序号</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89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color="000000"/>
                <w:lang w:val="en-US" w:eastAsia="zh-CN" w:bidi="ar"/>
              </w:rPr>
              <w:t>系统名称</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C5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color="000000"/>
                <w:lang w:val="en-US" w:eastAsia="zh-CN" w:bidi="ar"/>
              </w:rPr>
              <w:t>软件名称</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8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color="000000"/>
                <w:lang w:val="en-US" w:eastAsia="zh-CN" w:bidi="ar"/>
              </w:rPr>
              <w:t>厂家</w:t>
            </w:r>
          </w:p>
        </w:tc>
      </w:tr>
      <w:tr w14:paraId="2A05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F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B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视频监控</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B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iSecure Center 综合安防管理平台 (DS)、</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iVMS-8200</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2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杭州海康威视数字技术股份有限公司</w:t>
            </w:r>
          </w:p>
        </w:tc>
      </w:tr>
      <w:tr w14:paraId="08D4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C8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8E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智能预警及声音复核</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7A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Tradio Sderver</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5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北京快鱼电子股份公司</w:t>
            </w:r>
          </w:p>
        </w:tc>
      </w:tr>
      <w:tr w14:paraId="34E0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00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出入口控制</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iSecure Center 综合安防管理平台 (DS)</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32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杭州海康威视数字技术股份有限公司</w:t>
            </w:r>
          </w:p>
        </w:tc>
      </w:tr>
      <w:tr w14:paraId="2F21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2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33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数字IP网络广播</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MAG6000</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4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广州市迪士普音响科技有限公司</w:t>
            </w:r>
          </w:p>
        </w:tc>
      </w:tr>
      <w:tr w14:paraId="2C75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5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无线对讲及电子巡查</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7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旗云高科V1.0</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4A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武汉旗云高科工程技术有限公司</w:t>
            </w:r>
          </w:p>
        </w:tc>
      </w:tr>
      <w:tr w14:paraId="6225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35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6</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22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周界振动光纤报警</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24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广拓SAM200</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上海广拓信息技术有限公司</w:t>
            </w:r>
          </w:p>
        </w:tc>
      </w:tr>
      <w:tr w14:paraId="2A63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D6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3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入侵报警</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45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iSecure Center 综合安防管理平台 (DS)</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3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杭州海康威视数字技术股份有限公司</w:t>
            </w:r>
          </w:p>
        </w:tc>
      </w:tr>
      <w:tr w14:paraId="2762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77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9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视频矩阵及分布式</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1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MOBIUS-ASH3-CM、</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iSecure Center 综合安防管理平台 (DS)</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6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北京淳中科技股份有限公司、</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杭州海康威视数字技术股份有限公司</w:t>
            </w:r>
          </w:p>
        </w:tc>
      </w:tr>
      <w:tr w14:paraId="0984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D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9</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D2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三维实景倾斜摄影地图</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2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定制</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C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北京九圣通信科技有限公司</w:t>
            </w:r>
          </w:p>
        </w:tc>
      </w:tr>
      <w:tr w14:paraId="5053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1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6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智能运维</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5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定制</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B0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北京通建泰利特智能系统工程技术有限公司</w:t>
            </w:r>
          </w:p>
        </w:tc>
      </w:tr>
      <w:tr w14:paraId="2C39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9C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13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安全管控</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E0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DAC-Blade-AI、SW-UMC-PLAT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8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杭州迪普科技股份有限公司</w:t>
            </w:r>
          </w:p>
        </w:tc>
      </w:tr>
      <w:tr w14:paraId="696B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F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C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指挥中心显示及控制部分</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EA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ATAS-CM、</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iSecure Center 综合安防管理平台 (DS)</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7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北京淳中科技股份有限公司、</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杭州海康威视数字技术股份有限公司</w:t>
            </w:r>
          </w:p>
        </w:tc>
      </w:tr>
      <w:tr w14:paraId="6014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5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6C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文物盗窃嫌疑行为监管</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A2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定制</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65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北京通建泰利特智能系统工程技术有限公司</w:t>
            </w:r>
          </w:p>
        </w:tc>
      </w:tr>
    </w:tbl>
    <w:p w14:paraId="672C3DD3">
      <w:pPr>
        <w:spacing w:line="360" w:lineRule="auto"/>
        <w:ind w:left="74" w:right="11" w:firstLine="480"/>
        <w:rPr>
          <w:rFonts w:hint="default"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lang w:val="en-US" w:eastAsia="zh-CN"/>
        </w:rPr>
        <w:t>注：以上系统需保障正常运行，涉及到的维修、对接等所有问题均由中标人负责，采购人不承担任何责任。</w:t>
      </w:r>
    </w:p>
    <w:p w14:paraId="525406F4">
      <w:pPr>
        <w:spacing w:line="360" w:lineRule="auto"/>
        <w:ind w:left="55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二</w:t>
      </w:r>
      <w:r>
        <w:rPr>
          <w:rFonts w:hint="eastAsia" w:cs="仿宋" w:asciiTheme="minorEastAsia" w:hAnsiTheme="minorEastAsia" w:eastAsiaTheme="minorEastAsia"/>
          <w:color w:val="auto"/>
          <w:sz w:val="24"/>
          <w:szCs w:val="24"/>
          <w:highlight w:val="none"/>
        </w:rPr>
        <w:t>）</w:t>
      </w:r>
      <w:r>
        <w:rPr>
          <w:rFonts w:cs="仿宋" w:asciiTheme="minorEastAsia" w:hAnsiTheme="minorEastAsia" w:eastAsiaTheme="minorEastAsia"/>
          <w:color w:val="auto"/>
          <w:sz w:val="24"/>
          <w:szCs w:val="24"/>
          <w:highlight w:val="none"/>
        </w:rPr>
        <w:t>日常运维要求</w:t>
      </w:r>
    </w:p>
    <w:p w14:paraId="53992DCA">
      <w:pPr>
        <w:spacing w:line="360" w:lineRule="auto"/>
        <w:ind w:left="74" w:right="11" w:firstLine="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r>
        <w:rPr>
          <w:rFonts w:cs="仿宋" w:asciiTheme="minorEastAsia" w:hAnsiTheme="minorEastAsia" w:eastAsiaTheme="minorEastAsia"/>
          <w:color w:val="auto"/>
          <w:sz w:val="24"/>
          <w:szCs w:val="24"/>
          <w:highlight w:val="none"/>
        </w:rPr>
        <w:t>故障处理应急措施：运维期内对损坏进行免费维修。所发生的一切费用，包括工时费、</w:t>
      </w:r>
      <w:r>
        <w:rPr>
          <w:rFonts w:hint="eastAsia" w:cs="仿宋" w:asciiTheme="minorEastAsia" w:hAnsiTheme="minorEastAsia" w:eastAsiaTheme="minorEastAsia"/>
          <w:color w:val="auto"/>
          <w:sz w:val="24"/>
          <w:szCs w:val="24"/>
          <w:highlight w:val="none"/>
        </w:rPr>
        <w:t>设备材料费、</w:t>
      </w:r>
      <w:r>
        <w:rPr>
          <w:rFonts w:cs="仿宋" w:asciiTheme="minorEastAsia" w:hAnsiTheme="minorEastAsia" w:eastAsiaTheme="minorEastAsia"/>
          <w:color w:val="auto"/>
          <w:sz w:val="24"/>
          <w:szCs w:val="24"/>
          <w:highlight w:val="none"/>
        </w:rPr>
        <w:t>交通费、住宿费、通讯费、运输（邮寄）费均由</w:t>
      </w:r>
      <w:r>
        <w:rPr>
          <w:rFonts w:hint="eastAsia" w:cs="仿宋" w:asciiTheme="minorEastAsia" w:hAnsiTheme="minorEastAsia" w:eastAsiaTheme="minorEastAsia"/>
          <w:color w:val="auto"/>
          <w:sz w:val="24"/>
          <w:szCs w:val="24"/>
          <w:highlight w:val="none"/>
        </w:rPr>
        <w:t>中标人</w:t>
      </w:r>
      <w:r>
        <w:rPr>
          <w:rFonts w:cs="仿宋" w:asciiTheme="minorEastAsia" w:hAnsiTheme="minorEastAsia" w:eastAsiaTheme="minorEastAsia"/>
          <w:color w:val="auto"/>
          <w:sz w:val="24"/>
          <w:szCs w:val="24"/>
          <w:highlight w:val="none"/>
        </w:rPr>
        <w:t>承担。若</w:t>
      </w:r>
      <w:r>
        <w:rPr>
          <w:rFonts w:hint="eastAsia" w:cs="仿宋" w:asciiTheme="minorEastAsia" w:hAnsiTheme="minorEastAsia" w:eastAsiaTheme="minorEastAsia"/>
          <w:color w:val="auto"/>
          <w:sz w:val="24"/>
          <w:szCs w:val="24"/>
          <w:highlight w:val="none"/>
        </w:rPr>
        <w:t>前端系统</w:t>
      </w:r>
      <w:r>
        <w:rPr>
          <w:rFonts w:cs="仿宋" w:asciiTheme="minorEastAsia" w:hAnsiTheme="minorEastAsia" w:eastAsiaTheme="minorEastAsia"/>
          <w:color w:val="auto"/>
          <w:sz w:val="24"/>
          <w:szCs w:val="24"/>
          <w:highlight w:val="none"/>
        </w:rPr>
        <w:t>部件出现故障，须更换</w:t>
      </w:r>
      <w:r>
        <w:rPr>
          <w:rFonts w:hint="eastAsia" w:cs="仿宋" w:asciiTheme="minorEastAsia" w:hAnsiTheme="minorEastAsia" w:eastAsiaTheme="minorEastAsia"/>
          <w:color w:val="auto"/>
          <w:sz w:val="24"/>
          <w:szCs w:val="24"/>
          <w:highlight w:val="none"/>
        </w:rPr>
        <w:t>的</w:t>
      </w:r>
      <w:r>
        <w:rPr>
          <w:rFonts w:cs="仿宋" w:asciiTheme="minorEastAsia" w:hAnsiTheme="minorEastAsia" w:eastAsiaTheme="minorEastAsia"/>
          <w:color w:val="auto"/>
          <w:sz w:val="24"/>
          <w:szCs w:val="24"/>
          <w:highlight w:val="none"/>
        </w:rPr>
        <w:t>，一切费用由</w:t>
      </w:r>
      <w:r>
        <w:rPr>
          <w:rFonts w:hint="eastAsia" w:cs="仿宋" w:asciiTheme="minorEastAsia" w:hAnsiTheme="minorEastAsia" w:eastAsiaTheme="minorEastAsia"/>
          <w:color w:val="auto"/>
          <w:sz w:val="24"/>
          <w:szCs w:val="24"/>
          <w:highlight w:val="none"/>
        </w:rPr>
        <w:t>中标人</w:t>
      </w:r>
      <w:r>
        <w:rPr>
          <w:rFonts w:cs="仿宋" w:asciiTheme="minorEastAsia" w:hAnsiTheme="minorEastAsia" w:eastAsiaTheme="minorEastAsia"/>
          <w:color w:val="auto"/>
          <w:sz w:val="24"/>
          <w:szCs w:val="24"/>
          <w:highlight w:val="none"/>
        </w:rPr>
        <w:t>承担。</w:t>
      </w:r>
      <w:r>
        <w:rPr>
          <w:rFonts w:hint="eastAsia" w:cs="仿宋" w:asciiTheme="minorEastAsia" w:hAnsiTheme="minorEastAsia" w:eastAsiaTheme="minorEastAsia"/>
          <w:color w:val="auto"/>
          <w:sz w:val="24"/>
          <w:szCs w:val="24"/>
          <w:highlight w:val="none"/>
        </w:rPr>
        <w:t>中标人需在</w:t>
      </w:r>
      <w:r>
        <w:rPr>
          <w:rFonts w:hint="eastAsia" w:cs="仿宋" w:asciiTheme="minorEastAsia" w:hAnsiTheme="minorEastAsia" w:eastAsiaTheme="minorEastAsia"/>
          <w:color w:val="auto"/>
          <w:sz w:val="24"/>
          <w:szCs w:val="24"/>
          <w:highlight w:val="none"/>
          <w:lang w:val="en-US" w:eastAsia="zh-CN"/>
        </w:rPr>
        <w:t>本地设置固定的办公场所，并在</w:t>
      </w:r>
      <w:r>
        <w:rPr>
          <w:rFonts w:hint="eastAsia" w:cs="仿宋" w:asciiTheme="minorEastAsia" w:hAnsiTheme="minorEastAsia" w:eastAsiaTheme="minorEastAsia"/>
          <w:color w:val="auto"/>
          <w:sz w:val="24"/>
          <w:szCs w:val="24"/>
          <w:highlight w:val="none"/>
        </w:rPr>
        <w:t>项目地配备必要的备品备件库</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投标文件</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提供承诺书</w:t>
      </w:r>
      <w:r>
        <w:rPr>
          <w:rFonts w:cs="仿宋" w:asciiTheme="minorEastAsia" w:hAnsiTheme="minorEastAsia" w:eastAsiaTheme="minorEastAsia"/>
          <w:color w:val="auto"/>
          <w:sz w:val="24"/>
          <w:szCs w:val="24"/>
          <w:highlight w:val="none"/>
        </w:rPr>
        <w:t>。</w:t>
      </w:r>
    </w:p>
    <w:p w14:paraId="4B944B93">
      <w:pPr>
        <w:spacing w:line="360" w:lineRule="auto"/>
        <w:ind w:left="74" w:right="11" w:firstLine="48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运维队伍：中标人应组建不少于5人的专业运维队伍，配备必要的专用交通工具。同时并提供不少于4名驻场人员（要求身体健康，年龄不超过40周岁）服务，实行二十四小时值班制度，负责查看监控、对发现的故障等问题及时向巡检队伍反馈处理、做好每日运维日志小节等书面记录、从事采购人安排的其他工作。</w:t>
      </w:r>
    </w:p>
    <w:p w14:paraId="2DD01DD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r>
        <w:rPr>
          <w:rFonts w:cs="仿宋" w:asciiTheme="minorEastAsia" w:hAnsiTheme="minorEastAsia" w:eastAsiaTheme="minorEastAsia"/>
          <w:color w:val="auto"/>
          <w:sz w:val="24"/>
          <w:szCs w:val="24"/>
          <w:highlight w:val="none"/>
        </w:rPr>
        <w:t>即时响应：</w:t>
      </w:r>
      <w:r>
        <w:rPr>
          <w:rFonts w:hint="eastAsia" w:cs="仿宋" w:asciiTheme="minorEastAsia" w:hAnsiTheme="minorEastAsia" w:eastAsiaTheme="minorEastAsia"/>
          <w:color w:val="auto"/>
          <w:sz w:val="24"/>
          <w:szCs w:val="24"/>
          <w:highlight w:val="none"/>
          <w:lang w:val="en-US" w:eastAsia="zh-CN"/>
        </w:rPr>
        <w:t>每日</w:t>
      </w:r>
      <w:r>
        <w:rPr>
          <w:rFonts w:cs="仿宋" w:asciiTheme="minorEastAsia" w:hAnsiTheme="minorEastAsia" w:eastAsiaTheme="minorEastAsia"/>
          <w:color w:val="auto"/>
          <w:sz w:val="24"/>
          <w:szCs w:val="24"/>
          <w:highlight w:val="none"/>
        </w:rPr>
        <w:t>24小时电话支持，提供全天候无间断的远程技术服务，可随时接收故障的反馈和申报，</w:t>
      </w:r>
      <w:r>
        <w:rPr>
          <w:rFonts w:hint="eastAsia" w:cs="仿宋" w:asciiTheme="minorEastAsia" w:hAnsiTheme="minorEastAsia" w:eastAsiaTheme="minorEastAsia"/>
          <w:color w:val="auto"/>
          <w:sz w:val="24"/>
          <w:szCs w:val="24"/>
          <w:highlight w:val="none"/>
        </w:rPr>
        <w:t>中标人</w:t>
      </w:r>
      <w:r>
        <w:rPr>
          <w:rFonts w:cs="仿宋" w:asciiTheme="minorEastAsia" w:hAnsiTheme="minorEastAsia" w:eastAsiaTheme="minorEastAsia"/>
          <w:color w:val="auto"/>
          <w:sz w:val="24"/>
          <w:szCs w:val="24"/>
          <w:highlight w:val="none"/>
        </w:rPr>
        <w:t>将根据故障报告内容对问题进行分级，在规定的时间内对申报的问题进行响应及解决。</w:t>
      </w:r>
    </w:p>
    <w:p w14:paraId="1132DF3C">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三</w:t>
      </w:r>
      <w:r>
        <w:rPr>
          <w:rFonts w:hint="eastAsia" w:cs="仿宋" w:asciiTheme="minorEastAsia" w:hAnsiTheme="minorEastAsia" w:eastAsiaTheme="minorEastAsia"/>
          <w:color w:val="auto"/>
          <w:sz w:val="24"/>
          <w:szCs w:val="24"/>
          <w:highlight w:val="none"/>
        </w:rPr>
        <w:t>）运维基本内容</w:t>
      </w:r>
    </w:p>
    <w:p w14:paraId="68E02E18">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1、对各系统平台的日常监控与巡检；</w:t>
      </w:r>
    </w:p>
    <w:p w14:paraId="118796D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2、对发生故障的处理及维修；</w:t>
      </w:r>
    </w:p>
    <w:p w14:paraId="2E71405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3、提供重大</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突发、应急活动</w:t>
      </w:r>
      <w:r>
        <w:rPr>
          <w:rFonts w:hint="eastAsia" w:cs="仿宋" w:asciiTheme="minorEastAsia" w:hAnsiTheme="minorEastAsia" w:eastAsiaTheme="minorEastAsia"/>
          <w:color w:val="auto"/>
          <w:sz w:val="24"/>
          <w:szCs w:val="24"/>
          <w:highlight w:val="none"/>
        </w:rPr>
        <w:t>技术支持与保障</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确保系统无故障、监控点位全部在线</w:t>
      </w:r>
      <w:r>
        <w:rPr>
          <w:rFonts w:hint="eastAsia" w:cs="仿宋" w:asciiTheme="minorEastAsia" w:hAnsiTheme="minorEastAsia" w:eastAsiaTheme="minorEastAsia"/>
          <w:color w:val="auto"/>
          <w:sz w:val="24"/>
          <w:szCs w:val="24"/>
          <w:highlight w:val="none"/>
        </w:rPr>
        <w:t>；</w:t>
      </w:r>
    </w:p>
    <w:p w14:paraId="02D0372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4、对机房设备、外场视频设备等的定期清洁整修；</w:t>
      </w:r>
    </w:p>
    <w:p w14:paraId="369F1410">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5、对各系统及设备软硬件安全和稳定性提供及时升级服务；</w:t>
      </w:r>
    </w:p>
    <w:p w14:paraId="38EA5B7B">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6、对运维设备建立台账进行管理；</w:t>
      </w:r>
    </w:p>
    <w:p w14:paraId="16681CC4">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7、对运维资料的收集整理管理工作。</w:t>
      </w:r>
    </w:p>
    <w:p w14:paraId="57A6D52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四</w:t>
      </w:r>
      <w:r>
        <w:rPr>
          <w:rFonts w:hint="eastAsia" w:cs="仿宋" w:asciiTheme="minorEastAsia" w:hAnsiTheme="minorEastAsia" w:eastAsiaTheme="minorEastAsia"/>
          <w:color w:val="auto"/>
          <w:sz w:val="24"/>
          <w:szCs w:val="24"/>
          <w:highlight w:val="none"/>
        </w:rPr>
        <w:t>）服务标准</w:t>
      </w:r>
    </w:p>
    <w:p w14:paraId="6E10C6C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r>
        <w:rPr>
          <w:rFonts w:cs="仿宋" w:asciiTheme="minorEastAsia" w:hAnsiTheme="minorEastAsia" w:eastAsiaTheme="minorEastAsia"/>
          <w:color w:val="auto"/>
          <w:sz w:val="24"/>
          <w:szCs w:val="24"/>
          <w:highlight w:val="none"/>
        </w:rPr>
        <w:t>保证</w:t>
      </w:r>
      <w:r>
        <w:rPr>
          <w:rFonts w:hint="eastAsia" w:cs="仿宋" w:asciiTheme="minorEastAsia" w:hAnsiTheme="minorEastAsia" w:eastAsiaTheme="minorEastAsia"/>
          <w:color w:val="auto"/>
          <w:sz w:val="24"/>
          <w:szCs w:val="24"/>
          <w:highlight w:val="none"/>
        </w:rPr>
        <w:t>采购人</w:t>
      </w:r>
      <w:r>
        <w:rPr>
          <w:rFonts w:cs="仿宋" w:asciiTheme="minorEastAsia" w:hAnsiTheme="minorEastAsia" w:eastAsiaTheme="minorEastAsia"/>
          <w:color w:val="auto"/>
          <w:sz w:val="24"/>
          <w:szCs w:val="24"/>
          <w:highlight w:val="none"/>
        </w:rPr>
        <w:t>如下系统正常运行</w:t>
      </w:r>
    </w:p>
    <w:p w14:paraId="08C7F5BF">
      <w:pPr>
        <w:spacing w:line="360" w:lineRule="auto"/>
        <w:ind w:left="76" w:right="76" w:firstLine="491"/>
        <w:rPr>
          <w:rFonts w:hint="default"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rPr>
        <w:t>（1）</w:t>
      </w:r>
      <w:r>
        <w:rPr>
          <w:rFonts w:cs="仿宋" w:asciiTheme="minorEastAsia" w:hAnsiTheme="minorEastAsia" w:eastAsiaTheme="minorEastAsia"/>
          <w:color w:val="auto"/>
          <w:sz w:val="24"/>
          <w:szCs w:val="24"/>
          <w:highlight w:val="none"/>
        </w:rPr>
        <w:t>自合同签订之日起，每天24小时响应，2小时内到达现场，</w:t>
      </w:r>
      <w:r>
        <w:rPr>
          <w:rFonts w:hint="eastAsia" w:cs="仿宋" w:asciiTheme="minorEastAsia" w:hAnsiTheme="minorEastAsia" w:eastAsiaTheme="minorEastAsia"/>
          <w:color w:val="auto"/>
          <w:sz w:val="24"/>
          <w:szCs w:val="24"/>
          <w:highlight w:val="none"/>
          <w:lang w:val="en-US" w:eastAsia="zh-CN"/>
        </w:rPr>
        <w:t>12</w:t>
      </w:r>
      <w:r>
        <w:rPr>
          <w:rFonts w:cs="仿宋" w:asciiTheme="minorEastAsia" w:hAnsiTheme="minorEastAsia" w:eastAsiaTheme="minorEastAsia"/>
          <w:color w:val="auto"/>
          <w:sz w:val="24"/>
          <w:szCs w:val="24"/>
          <w:highlight w:val="none"/>
        </w:rPr>
        <w:t>小时内解除故障。</w:t>
      </w:r>
      <w:r>
        <w:rPr>
          <w:rFonts w:hint="eastAsia" w:cs="仿宋" w:asciiTheme="minorEastAsia" w:hAnsiTheme="minorEastAsia" w:eastAsiaTheme="minorEastAsia"/>
          <w:color w:val="auto"/>
          <w:sz w:val="24"/>
          <w:szCs w:val="24"/>
          <w:highlight w:val="none"/>
          <w:lang w:val="en-US" w:eastAsia="zh-CN"/>
        </w:rPr>
        <w:t>无条件对采购人</w:t>
      </w:r>
      <w:r>
        <w:rPr>
          <w:rFonts w:hint="eastAsia" w:cs="仿宋" w:asciiTheme="minorEastAsia" w:hAnsiTheme="minorEastAsia" w:eastAsiaTheme="minorEastAsia"/>
          <w:color w:val="auto"/>
          <w:sz w:val="24"/>
          <w:szCs w:val="24"/>
          <w:highlight w:val="none"/>
        </w:rPr>
        <w:t>重大</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突发、应急活动进行技术配合。</w:t>
      </w:r>
    </w:p>
    <w:p w14:paraId="60E4D35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cs="仿宋" w:asciiTheme="minorEastAsia" w:hAnsiTheme="minorEastAsia" w:eastAsiaTheme="minorEastAsia"/>
          <w:color w:val="auto"/>
          <w:sz w:val="24"/>
          <w:szCs w:val="24"/>
          <w:highlight w:val="none"/>
        </w:rPr>
        <w:t>应制定系统日常维护工作计划，并严格按照工作计划进行系统的日常维护。日常维护应不影响系统的正常使用。</w:t>
      </w:r>
    </w:p>
    <w:p w14:paraId="64058C1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r>
        <w:rPr>
          <w:rFonts w:cs="仿宋" w:asciiTheme="minorEastAsia" w:hAnsiTheme="minorEastAsia" w:eastAsiaTheme="minorEastAsia"/>
          <w:color w:val="auto"/>
          <w:sz w:val="24"/>
          <w:szCs w:val="24"/>
          <w:highlight w:val="none"/>
        </w:rPr>
        <w:t>视频监控系统正常视频预览及回放，监控在线率不低于9</w:t>
      </w:r>
      <w:r>
        <w:rPr>
          <w:rFonts w:hint="eastAsia" w:cs="仿宋" w:asciiTheme="minorEastAsia" w:hAnsiTheme="minorEastAsia" w:eastAsiaTheme="minorEastAsia"/>
          <w:color w:val="auto"/>
          <w:sz w:val="24"/>
          <w:szCs w:val="24"/>
          <w:highlight w:val="none"/>
        </w:rPr>
        <w:t>8</w:t>
      </w:r>
      <w:r>
        <w:rPr>
          <w:rFonts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rPr>
        <w:t>（同一点位不得长时间离线）</w:t>
      </w:r>
      <w:r>
        <w:rPr>
          <w:rFonts w:cs="仿宋" w:asciiTheme="minorEastAsia" w:hAnsiTheme="minorEastAsia" w:eastAsiaTheme="minorEastAsia"/>
          <w:color w:val="auto"/>
          <w:sz w:val="24"/>
          <w:szCs w:val="24"/>
          <w:highlight w:val="none"/>
        </w:rPr>
        <w:t>。</w:t>
      </w:r>
    </w:p>
    <w:p w14:paraId="71880138">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w:t>
      </w:r>
      <w:r>
        <w:rPr>
          <w:rFonts w:cs="仿宋" w:asciiTheme="minorEastAsia" w:hAnsiTheme="minorEastAsia" w:eastAsiaTheme="minorEastAsia"/>
          <w:color w:val="auto"/>
          <w:sz w:val="24"/>
          <w:szCs w:val="24"/>
          <w:highlight w:val="none"/>
        </w:rPr>
        <w:t>人脸识别系统能清晰抓拍过往行人人脸。</w:t>
      </w:r>
    </w:p>
    <w:p w14:paraId="0B09546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w:t>
      </w:r>
      <w:r>
        <w:rPr>
          <w:rFonts w:cs="仿宋" w:asciiTheme="minorEastAsia" w:hAnsiTheme="minorEastAsia" w:eastAsiaTheme="minorEastAsia"/>
          <w:color w:val="auto"/>
          <w:sz w:val="24"/>
          <w:szCs w:val="24"/>
          <w:highlight w:val="none"/>
        </w:rPr>
        <w:t>入侵报警系统能准确、及时地探测入侵行为，并发出入侵报警信号。</w:t>
      </w:r>
    </w:p>
    <w:p w14:paraId="56F7E66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w:t>
      </w:r>
      <w:r>
        <w:rPr>
          <w:rFonts w:cs="仿宋" w:asciiTheme="minorEastAsia" w:hAnsiTheme="minorEastAsia" w:eastAsiaTheme="minorEastAsia"/>
          <w:color w:val="auto"/>
          <w:sz w:val="24"/>
          <w:szCs w:val="24"/>
          <w:highlight w:val="none"/>
        </w:rPr>
        <w:t>智能预警及声音复核系统能清楚采集拾音器有效范围内的声音，显示前端声音大小噪值。</w:t>
      </w:r>
    </w:p>
    <w:p w14:paraId="14EB4822">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w:t>
      </w:r>
      <w:r>
        <w:rPr>
          <w:rFonts w:cs="仿宋" w:asciiTheme="minorEastAsia" w:hAnsiTheme="minorEastAsia" w:eastAsiaTheme="minorEastAsia"/>
          <w:color w:val="auto"/>
          <w:sz w:val="24"/>
          <w:szCs w:val="24"/>
          <w:highlight w:val="none"/>
        </w:rPr>
        <w:t>数字IP网络广播系统能通过对讲主控台或触摸屏服务器对前端网络音柱进行语音播放或喊话。</w:t>
      </w:r>
    </w:p>
    <w:p w14:paraId="57DA94D9">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（8）</w:t>
      </w:r>
      <w:r>
        <w:rPr>
          <w:rFonts w:cs="仿宋" w:asciiTheme="minorEastAsia" w:hAnsiTheme="minorEastAsia" w:eastAsiaTheme="minorEastAsia"/>
          <w:color w:val="auto"/>
          <w:sz w:val="24"/>
          <w:szCs w:val="24"/>
          <w:highlight w:val="none"/>
        </w:rPr>
        <w:t>出入口控制系统能支持录入人脸信息，进行人脸比对，进行开门指令。</w:t>
      </w:r>
    </w:p>
    <w:p w14:paraId="352C3EC5">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（9）</w:t>
      </w:r>
      <w:r>
        <w:rPr>
          <w:rFonts w:cs="仿宋" w:asciiTheme="minorEastAsia" w:hAnsiTheme="minorEastAsia" w:eastAsiaTheme="minorEastAsia"/>
          <w:color w:val="auto"/>
          <w:sz w:val="24"/>
          <w:szCs w:val="24"/>
          <w:highlight w:val="none"/>
        </w:rPr>
        <w:t>无线对讲及电子巡查系统能在平台界面可查看巡查人员位置、任务、轨迹。</w:t>
      </w:r>
    </w:p>
    <w:p w14:paraId="5EA82D8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（10）</w:t>
      </w:r>
      <w:r>
        <w:rPr>
          <w:rFonts w:cs="仿宋" w:asciiTheme="minorEastAsia" w:hAnsiTheme="minorEastAsia" w:eastAsiaTheme="minorEastAsia"/>
          <w:color w:val="auto"/>
          <w:sz w:val="24"/>
          <w:szCs w:val="24"/>
          <w:highlight w:val="none"/>
        </w:rPr>
        <w:t>周界振动光纤报警系统当发生报警时及时发传送至监控室报警信息。</w:t>
      </w:r>
    </w:p>
    <w:p w14:paraId="27033FEF">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（11）</w:t>
      </w:r>
      <w:r>
        <w:rPr>
          <w:rFonts w:cs="仿宋" w:asciiTheme="minorEastAsia" w:hAnsiTheme="minorEastAsia" w:eastAsiaTheme="minorEastAsia"/>
          <w:color w:val="auto"/>
          <w:sz w:val="24"/>
          <w:szCs w:val="24"/>
          <w:highlight w:val="none"/>
        </w:rPr>
        <w:t>分控中心平台能将该区域各系统正常显示及操控。</w:t>
      </w:r>
    </w:p>
    <w:p w14:paraId="09974C7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（12）</w:t>
      </w:r>
      <w:r>
        <w:rPr>
          <w:rFonts w:cs="仿宋" w:asciiTheme="minorEastAsia" w:hAnsiTheme="minorEastAsia" w:eastAsiaTheme="minorEastAsia"/>
          <w:color w:val="auto"/>
          <w:sz w:val="24"/>
          <w:szCs w:val="24"/>
          <w:highlight w:val="none"/>
        </w:rPr>
        <w:t>地面感知网系统能清晰抓拍过往“机非人”，并进行比对等结构化分析功能。</w:t>
      </w:r>
    </w:p>
    <w:p w14:paraId="5531A20A">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（13）</w:t>
      </w:r>
      <w:r>
        <w:rPr>
          <w:rFonts w:cs="仿宋" w:asciiTheme="minorEastAsia" w:hAnsiTheme="minorEastAsia" w:eastAsiaTheme="minorEastAsia"/>
          <w:color w:val="auto"/>
          <w:sz w:val="24"/>
          <w:szCs w:val="24"/>
          <w:highlight w:val="none"/>
        </w:rPr>
        <w:t>空中感知网系统能正常视频预览及回放，监控在线率不低于9</w:t>
      </w:r>
      <w:r>
        <w:rPr>
          <w:rFonts w:hint="eastAsia" w:cs="仿宋" w:asciiTheme="minorEastAsia" w:hAnsiTheme="minorEastAsia" w:eastAsiaTheme="minorEastAsia"/>
          <w:color w:val="auto"/>
          <w:sz w:val="24"/>
          <w:szCs w:val="24"/>
          <w:highlight w:val="none"/>
        </w:rPr>
        <w:t>8</w:t>
      </w:r>
      <w:r>
        <w:rPr>
          <w:rFonts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rPr>
        <w:t>（同一点位不得长时间离线）</w:t>
      </w:r>
      <w:r>
        <w:rPr>
          <w:rFonts w:cs="仿宋" w:asciiTheme="minorEastAsia" w:hAnsiTheme="minorEastAsia" w:eastAsiaTheme="minorEastAsia"/>
          <w:color w:val="auto"/>
          <w:sz w:val="24"/>
          <w:szCs w:val="24"/>
          <w:highlight w:val="none"/>
        </w:rPr>
        <w:t>。</w:t>
      </w:r>
    </w:p>
    <w:p w14:paraId="0E278D88">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（14）</w:t>
      </w:r>
      <w:r>
        <w:rPr>
          <w:rFonts w:cs="仿宋" w:asciiTheme="minorEastAsia" w:hAnsiTheme="minorEastAsia" w:eastAsiaTheme="minorEastAsia"/>
          <w:color w:val="auto"/>
          <w:sz w:val="24"/>
          <w:szCs w:val="24"/>
          <w:highlight w:val="none"/>
        </w:rPr>
        <w:t>三维实景倾斜摄影地图系统借助三维地图、多媒体、三维仿真和虚拟现实等信息可视化技术,实现保护区全景立体化可视。</w:t>
      </w:r>
    </w:p>
    <w:p w14:paraId="24B36D54">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（15）</w:t>
      </w:r>
      <w:r>
        <w:rPr>
          <w:rFonts w:cs="仿宋" w:asciiTheme="minorEastAsia" w:hAnsiTheme="minorEastAsia" w:eastAsiaTheme="minorEastAsia"/>
          <w:color w:val="auto"/>
          <w:sz w:val="24"/>
          <w:szCs w:val="24"/>
          <w:highlight w:val="none"/>
        </w:rPr>
        <w:t>智能运维系统支持从监控工具或第三方系统获取各类告警信息进行统一处理；支持可视化界面进行告警处理规则的设置，包括：告警通知/升级、定位与丰富、告警压缩、告警抑制、自动派单、告警关闭/删除等。</w:t>
      </w:r>
    </w:p>
    <w:p w14:paraId="289D474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（16）</w:t>
      </w:r>
      <w:r>
        <w:rPr>
          <w:rFonts w:cs="仿宋" w:asciiTheme="minorEastAsia" w:hAnsiTheme="minorEastAsia" w:eastAsiaTheme="minorEastAsia"/>
          <w:color w:val="auto"/>
          <w:sz w:val="24"/>
          <w:szCs w:val="24"/>
          <w:highlight w:val="none"/>
        </w:rPr>
        <w:t>安全管控系统在中心安全网关提供防火墙、入侵防御、行为审计、抗 DDOS 等功能。</w:t>
      </w:r>
    </w:p>
    <w:p w14:paraId="2C0699D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（17）</w:t>
      </w:r>
      <w:r>
        <w:rPr>
          <w:rFonts w:cs="仿宋" w:asciiTheme="minorEastAsia" w:hAnsiTheme="minorEastAsia" w:eastAsiaTheme="minorEastAsia"/>
          <w:color w:val="auto"/>
          <w:sz w:val="24"/>
          <w:szCs w:val="24"/>
          <w:highlight w:val="none"/>
        </w:rPr>
        <w:t>田野文物巡查管理系统能在平台界面可查看巡查人员位置、任务、轨迹。</w:t>
      </w:r>
    </w:p>
    <w:p w14:paraId="62FFD8C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（18）</w:t>
      </w:r>
      <w:r>
        <w:rPr>
          <w:rFonts w:cs="仿宋" w:asciiTheme="minorEastAsia" w:hAnsiTheme="minorEastAsia" w:eastAsiaTheme="minorEastAsia"/>
          <w:color w:val="auto"/>
          <w:sz w:val="24"/>
          <w:szCs w:val="24"/>
          <w:highlight w:val="none"/>
        </w:rPr>
        <w:t>田野文物应急指挥车可满足殷墟遗址保护区日常巡逻；当发生突发事件时，可利用指挥车进行现场音视频采集、道路状况及资源查询调度，通过4G无线图传、有线连接等通信方式保障现场及后方指挥中心之间应急通讯。</w:t>
      </w:r>
    </w:p>
    <w:p w14:paraId="107D857F">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（19）</w:t>
      </w:r>
      <w:r>
        <w:rPr>
          <w:rFonts w:cs="仿宋" w:asciiTheme="minorEastAsia" w:hAnsiTheme="minorEastAsia" w:eastAsiaTheme="minorEastAsia"/>
          <w:color w:val="auto"/>
          <w:sz w:val="24"/>
          <w:szCs w:val="24"/>
          <w:highlight w:val="none"/>
        </w:rPr>
        <w:t>指挥中心综合管理平台能将该区域各系统正常显示及操控。</w:t>
      </w:r>
    </w:p>
    <w:p w14:paraId="36F7BC40">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cs="仿宋" w:asciiTheme="minorEastAsia" w:hAnsiTheme="minorEastAsia" w:eastAsiaTheme="minorEastAsia"/>
          <w:color w:val="auto"/>
          <w:sz w:val="24"/>
          <w:szCs w:val="24"/>
          <w:highlight w:val="none"/>
        </w:rPr>
        <w:t>维护期内前端设备正常损坏（不可抗拒因素除外）由</w:t>
      </w:r>
      <w:r>
        <w:rPr>
          <w:rFonts w:hint="eastAsia" w:cs="仿宋" w:asciiTheme="minorEastAsia" w:hAnsiTheme="minorEastAsia" w:eastAsiaTheme="minorEastAsia"/>
          <w:color w:val="auto"/>
          <w:sz w:val="24"/>
          <w:szCs w:val="24"/>
          <w:highlight w:val="none"/>
        </w:rPr>
        <w:t>中标人</w:t>
      </w:r>
      <w:r>
        <w:rPr>
          <w:rFonts w:cs="仿宋" w:asciiTheme="minorEastAsia" w:hAnsiTheme="minorEastAsia" w:eastAsiaTheme="minorEastAsia"/>
          <w:color w:val="auto"/>
          <w:sz w:val="24"/>
          <w:szCs w:val="24"/>
          <w:highlight w:val="none"/>
        </w:rPr>
        <w:t>解决。</w:t>
      </w:r>
    </w:p>
    <w:p w14:paraId="500CF06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3、中标人</w:t>
      </w:r>
      <w:r>
        <w:rPr>
          <w:rFonts w:cs="仿宋" w:asciiTheme="minorEastAsia" w:hAnsiTheme="minorEastAsia" w:eastAsiaTheme="minorEastAsia"/>
          <w:color w:val="auto"/>
          <w:sz w:val="24"/>
          <w:szCs w:val="24"/>
          <w:highlight w:val="none"/>
        </w:rPr>
        <w:t>为</w:t>
      </w:r>
      <w:r>
        <w:rPr>
          <w:rFonts w:hint="eastAsia" w:cs="仿宋" w:asciiTheme="minorEastAsia" w:hAnsiTheme="minorEastAsia" w:eastAsiaTheme="minorEastAsia"/>
          <w:color w:val="auto"/>
          <w:sz w:val="24"/>
          <w:szCs w:val="24"/>
          <w:highlight w:val="none"/>
        </w:rPr>
        <w:t>采购人</w:t>
      </w:r>
      <w:r>
        <w:rPr>
          <w:rFonts w:cs="仿宋" w:asciiTheme="minorEastAsia" w:hAnsiTheme="minorEastAsia" w:eastAsiaTheme="minorEastAsia"/>
          <w:color w:val="auto"/>
          <w:sz w:val="24"/>
          <w:szCs w:val="24"/>
          <w:highlight w:val="none"/>
        </w:rPr>
        <w:t>建立设备维护档案和维修记录，并严格保守</w:t>
      </w:r>
      <w:r>
        <w:rPr>
          <w:rFonts w:hint="eastAsia" w:cs="仿宋" w:asciiTheme="minorEastAsia" w:hAnsiTheme="minorEastAsia" w:eastAsiaTheme="minorEastAsia"/>
          <w:color w:val="auto"/>
          <w:sz w:val="24"/>
          <w:szCs w:val="24"/>
          <w:highlight w:val="none"/>
        </w:rPr>
        <w:t>采购人</w:t>
      </w:r>
      <w:r>
        <w:rPr>
          <w:rFonts w:cs="仿宋" w:asciiTheme="minorEastAsia" w:hAnsiTheme="minorEastAsia" w:eastAsiaTheme="minorEastAsia"/>
          <w:color w:val="auto"/>
          <w:sz w:val="24"/>
          <w:szCs w:val="24"/>
          <w:highlight w:val="none"/>
        </w:rPr>
        <w:t>一切机密，保证存储信息的安全使用。遵守保密协议，履行保密义务。</w:t>
      </w:r>
    </w:p>
    <w:p w14:paraId="61082CF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4、中标人</w:t>
      </w:r>
      <w:r>
        <w:rPr>
          <w:rFonts w:cs="仿宋" w:asciiTheme="minorEastAsia" w:hAnsiTheme="minorEastAsia" w:eastAsiaTheme="minorEastAsia"/>
          <w:color w:val="auto"/>
          <w:sz w:val="24"/>
          <w:szCs w:val="24"/>
          <w:highlight w:val="none"/>
        </w:rPr>
        <w:t>应爱护</w:t>
      </w:r>
      <w:r>
        <w:rPr>
          <w:rFonts w:hint="eastAsia" w:cs="仿宋" w:asciiTheme="minorEastAsia" w:hAnsiTheme="minorEastAsia" w:eastAsiaTheme="minorEastAsia"/>
          <w:color w:val="auto"/>
          <w:sz w:val="24"/>
          <w:szCs w:val="24"/>
          <w:highlight w:val="none"/>
        </w:rPr>
        <w:t>采购人</w:t>
      </w:r>
      <w:r>
        <w:rPr>
          <w:rFonts w:cs="仿宋" w:asciiTheme="minorEastAsia" w:hAnsiTheme="minorEastAsia" w:eastAsiaTheme="minorEastAsia"/>
          <w:color w:val="auto"/>
          <w:sz w:val="24"/>
          <w:szCs w:val="24"/>
          <w:highlight w:val="none"/>
        </w:rPr>
        <w:t>的系统设备，在维护过程中必须严格按照技防系统的维护操作规程实施。</w:t>
      </w:r>
    </w:p>
    <w:p w14:paraId="5261DEB7">
      <w:pPr>
        <w:spacing w:line="360" w:lineRule="auto"/>
        <w:ind w:left="76" w:right="76" w:firstLine="491"/>
        <w:rPr>
          <w:rFonts w:cs="仿宋" w:asciiTheme="minorEastAsia" w:hAnsiTheme="minorEastAsia" w:eastAsiaTheme="minorEastAsia"/>
          <w:color w:val="auto"/>
          <w:sz w:val="24"/>
          <w:szCs w:val="24"/>
          <w:highlight w:val="none"/>
        </w:rPr>
      </w:pPr>
      <w:bookmarkStart w:id="22" w:name="bookmark59"/>
      <w:bookmarkEnd w:id="22"/>
      <w:bookmarkStart w:id="23" w:name="bookmark60"/>
      <w:bookmarkEnd w:id="23"/>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五</w:t>
      </w:r>
      <w:r>
        <w:rPr>
          <w:rFonts w:hint="eastAsia" w:cs="仿宋" w:asciiTheme="minorEastAsia" w:hAnsiTheme="minorEastAsia" w:eastAsiaTheme="minorEastAsia"/>
          <w:color w:val="auto"/>
          <w:sz w:val="24"/>
          <w:szCs w:val="24"/>
          <w:highlight w:val="none"/>
        </w:rPr>
        <w:t>）商务要求</w:t>
      </w:r>
    </w:p>
    <w:p w14:paraId="1469F768">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1、服务期限：合同签订之日起</w:t>
      </w:r>
      <w:r>
        <w:rPr>
          <w:rFonts w:hint="eastAsia" w:cs="仿宋" w:asciiTheme="minorEastAsia" w:hAnsiTheme="minorEastAsia" w:eastAsiaTheme="minorEastAsia"/>
          <w:color w:val="auto"/>
          <w:sz w:val="24"/>
          <w:szCs w:val="24"/>
          <w:highlight w:val="none"/>
          <w:lang w:val="en-US" w:eastAsia="zh-CN"/>
        </w:rPr>
        <w:t>三</w:t>
      </w:r>
      <w:r>
        <w:rPr>
          <w:rFonts w:hint="eastAsia" w:cs="仿宋" w:asciiTheme="minorEastAsia" w:hAnsiTheme="minorEastAsia" w:eastAsiaTheme="minorEastAsia"/>
          <w:color w:val="auto"/>
          <w:sz w:val="24"/>
          <w:szCs w:val="24"/>
          <w:highlight w:val="none"/>
        </w:rPr>
        <w:t>年</w:t>
      </w:r>
      <w:r>
        <w:rPr>
          <w:rFonts w:hint="eastAsia" w:cs="仿宋" w:asciiTheme="minorEastAsia" w:hAnsiTheme="minorEastAsia" w:eastAsiaTheme="minorEastAsia"/>
          <w:color w:val="auto"/>
          <w:sz w:val="24"/>
          <w:szCs w:val="24"/>
          <w:highlight w:val="none"/>
          <w:lang w:eastAsia="zh-CN"/>
        </w:rPr>
        <w:t>（</w:t>
      </w:r>
      <w:r>
        <w:rPr>
          <w:rFonts w:hint="eastAsia" w:ascii="宋体" w:hAnsi="宋体"/>
          <w:color w:val="auto"/>
          <w:sz w:val="24"/>
          <w:szCs w:val="24"/>
          <w:highlight w:val="none"/>
        </w:rPr>
        <w:t>合同一年一签</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w:t>
      </w:r>
    </w:p>
    <w:p w14:paraId="4FB98B30">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2、服务地点：运维地点为采购人指定地点。</w:t>
      </w:r>
    </w:p>
    <w:p w14:paraId="6DAB1479">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3、付款方式：每六个月支付一次款项，采购人每月对中标人的运维工作进行考核，每六个月汇总考核情况，按考核情况向中标方支付合同价款。</w:t>
      </w:r>
    </w:p>
    <w:p w14:paraId="2EC3F20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4、服务要求：对招标文件规定的全区域监控系统进行运行维护，完成每日定期巡检、故障维修和设备更换工作，确保区域视频监控等设备正常运行，视频在线率达到98%以上（同一点位不得长时间离线）。</w:t>
      </w:r>
    </w:p>
    <w:p w14:paraId="18754E31">
      <w:pPr>
        <w:spacing w:line="360" w:lineRule="auto"/>
        <w:ind w:left="76" w:right="76" w:firstLine="491"/>
        <w:rPr>
          <w:rFonts w:cs="仿宋" w:asciiTheme="minorEastAsia" w:hAnsiTheme="minorEastAsia" w:eastAsiaTheme="minorEastAsia"/>
          <w:color w:val="auto"/>
          <w:sz w:val="24"/>
          <w:szCs w:val="24"/>
          <w:highlight w:val="none"/>
        </w:rPr>
      </w:pPr>
      <w:bookmarkStart w:id="24" w:name="bookmark62"/>
      <w:bookmarkEnd w:id="24"/>
      <w:bookmarkStart w:id="25" w:name="bookmark61"/>
      <w:bookmarkEnd w:id="25"/>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六</w:t>
      </w:r>
      <w:r>
        <w:rPr>
          <w:rFonts w:hint="eastAsia" w:cs="仿宋" w:asciiTheme="minorEastAsia" w:hAnsiTheme="minorEastAsia" w:eastAsiaTheme="minorEastAsia"/>
          <w:color w:val="auto"/>
          <w:sz w:val="24"/>
          <w:szCs w:val="24"/>
          <w:highlight w:val="none"/>
        </w:rPr>
        <w:t>）其他要求</w:t>
      </w:r>
    </w:p>
    <w:p w14:paraId="1437565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投标人应根据项目内容及要求制定详细的运维方案，包含但不限于以下内容：运维工作要点分析，接管运维后的工作安排，运维人员车辆组织，运维日常调度安排，巡检计划，维修登记表等各种台账，故障恢复时间承诺，运维人员培训计划，故障处理保障措施等。</w:t>
      </w:r>
    </w:p>
    <w:p w14:paraId="01D26B89">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2、投标人根据项目需要建立备品备件库，明确备品备件的型号和数量。</w:t>
      </w:r>
    </w:p>
    <w:p w14:paraId="111C727C">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3、投标人针对本项目的报价为本合同项下全部运维服务的报价。</w:t>
      </w:r>
    </w:p>
    <w:p w14:paraId="148E4EE1">
      <w:pPr>
        <w:spacing w:line="360" w:lineRule="auto"/>
        <w:ind w:left="76" w:right="76" w:firstLine="491"/>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4、保证项目所有系统平台正常运行。</w:t>
      </w:r>
    </w:p>
    <w:p w14:paraId="25BBB01F">
      <w:pPr>
        <w:spacing w:line="360" w:lineRule="auto"/>
        <w:ind w:left="76" w:right="76" w:firstLine="491"/>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5、如中标人网络与现有网络运营商不一致，需做到无缝切换。在网络切换过程中不允许出现网络中断现象</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不得影响业务开展。网络切换中所产生的一切协调工作与费用由中标人负责处理与承担。</w:t>
      </w:r>
    </w:p>
    <w:p w14:paraId="4EF47EA7">
      <w:pPr>
        <w:spacing w:line="360" w:lineRule="auto"/>
        <w:ind w:left="76" w:right="76" w:firstLine="491"/>
        <w:rPr>
          <w:rFonts w:hint="default"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lang w:val="en-US" w:eastAsia="zh-CN"/>
        </w:rPr>
        <w:t>6、采购人有权调整（增加）不超过10%的监控点位及范围，中标人不得增加费用。</w:t>
      </w:r>
    </w:p>
    <w:p w14:paraId="12BAFDE5">
      <w:pPr>
        <w:spacing w:line="360" w:lineRule="auto"/>
        <w:ind w:left="564"/>
        <w:outlineLvl w:val="1"/>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二、监控系统运维服务考核办法</w:t>
      </w:r>
    </w:p>
    <w:p w14:paraId="071D7EF2">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（一）目的与作用</w:t>
      </w:r>
    </w:p>
    <w:p w14:paraId="6D6F055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为规范对运维服务单位的考核工作，明确考核对象和范围，细化考核内容和依据，减少自由裁量权，客观、公正、合理的对运维服务单位进行考核。</w:t>
      </w:r>
    </w:p>
    <w:p w14:paraId="063369E9">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（二）考核对象</w:t>
      </w:r>
    </w:p>
    <w:p w14:paraId="0A788D35">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中标人--监控系统运维服务单位（以下简称“运维服务单位”）。</w:t>
      </w:r>
    </w:p>
    <w:p w14:paraId="27CA9AC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（三）考核范围</w:t>
      </w:r>
    </w:p>
    <w:p w14:paraId="6E5E821A">
      <w:pPr>
        <w:spacing w:line="360" w:lineRule="auto"/>
        <w:ind w:left="76" w:right="76" w:firstLine="491"/>
        <w:rPr>
          <w:rFonts w:cs="仿宋" w:asciiTheme="minorEastAsia" w:hAnsiTheme="minorEastAsia" w:eastAsiaTheme="minorEastAsia"/>
          <w:color w:val="auto"/>
          <w:sz w:val="24"/>
          <w:szCs w:val="24"/>
          <w:highlight w:val="none"/>
        </w:rPr>
      </w:pPr>
      <w:r>
        <w:rPr>
          <w:rFonts w:cs="仿宋" w:asciiTheme="minorEastAsia" w:hAnsiTheme="minorEastAsia" w:eastAsiaTheme="minorEastAsia"/>
          <w:color w:val="auto"/>
          <w:sz w:val="24"/>
          <w:szCs w:val="24"/>
          <w:highlight w:val="none"/>
        </w:rPr>
        <w:t>主要包括</w:t>
      </w:r>
      <w:r>
        <w:rPr>
          <w:rFonts w:hint="eastAsia" w:cs="仿宋" w:asciiTheme="minorEastAsia" w:hAnsiTheme="minorEastAsia" w:eastAsiaTheme="minorEastAsia"/>
          <w:color w:val="auto"/>
          <w:sz w:val="24"/>
          <w:szCs w:val="24"/>
          <w:highlight w:val="none"/>
        </w:rPr>
        <w:t>殷墟遗址保护区内的田野文物保护区智慧技术安全防范系统和文物遗址保护区（殷墟宫殿宗庙遗址、原殷墟地下博物馆、殷墟王陵遗址）智慧技术安全防范系统</w:t>
      </w:r>
      <w:r>
        <w:rPr>
          <w:rFonts w:cs="仿宋" w:asciiTheme="minorEastAsia" w:hAnsiTheme="minorEastAsia" w:eastAsiaTheme="minorEastAsia"/>
          <w:color w:val="auto"/>
          <w:sz w:val="24"/>
          <w:szCs w:val="24"/>
          <w:highlight w:val="none"/>
        </w:rPr>
        <w:t>的故障排查、维修、维护、</w:t>
      </w:r>
      <w:r>
        <w:rPr>
          <w:rFonts w:hint="eastAsia" w:cs="仿宋" w:asciiTheme="minorEastAsia" w:hAnsiTheme="minorEastAsia" w:eastAsiaTheme="minorEastAsia"/>
          <w:color w:val="auto"/>
          <w:sz w:val="24"/>
          <w:szCs w:val="24"/>
          <w:highlight w:val="none"/>
        </w:rPr>
        <w:t>专用网络</w:t>
      </w:r>
      <w:r>
        <w:rPr>
          <w:rFonts w:cs="仿宋" w:asciiTheme="minorEastAsia" w:hAnsiTheme="minorEastAsia" w:eastAsiaTheme="minorEastAsia"/>
          <w:color w:val="auto"/>
          <w:sz w:val="24"/>
          <w:szCs w:val="24"/>
          <w:highlight w:val="none"/>
        </w:rPr>
        <w:t>线路网费、电费</w:t>
      </w:r>
      <w:r>
        <w:rPr>
          <w:rFonts w:hint="eastAsia" w:cs="仿宋" w:asciiTheme="minorEastAsia" w:hAnsiTheme="minorEastAsia" w:eastAsiaTheme="minorEastAsia"/>
          <w:color w:val="auto"/>
          <w:sz w:val="24"/>
          <w:szCs w:val="24"/>
          <w:highlight w:val="none"/>
        </w:rPr>
        <w:t>（田野文物保护区智慧技术安全防范系统）</w:t>
      </w:r>
      <w:r>
        <w:rPr>
          <w:rFonts w:cs="仿宋" w:asciiTheme="minorEastAsia" w:hAnsiTheme="minorEastAsia" w:eastAsiaTheme="minorEastAsia"/>
          <w:color w:val="auto"/>
          <w:sz w:val="24"/>
          <w:szCs w:val="24"/>
          <w:highlight w:val="none"/>
        </w:rPr>
        <w:t>和运维服务等内容，确保区域视频监控设备正常运行，视频在线率达到9</w:t>
      </w:r>
      <w:r>
        <w:rPr>
          <w:rFonts w:hint="eastAsia" w:cs="仿宋" w:asciiTheme="minorEastAsia" w:hAnsiTheme="minorEastAsia" w:eastAsiaTheme="minorEastAsia"/>
          <w:color w:val="auto"/>
          <w:sz w:val="24"/>
          <w:szCs w:val="24"/>
          <w:highlight w:val="none"/>
        </w:rPr>
        <w:t>8</w:t>
      </w:r>
      <w:r>
        <w:rPr>
          <w:rFonts w:cs="仿宋" w:asciiTheme="minorEastAsia" w:hAnsiTheme="minorEastAsia" w:eastAsiaTheme="minorEastAsia"/>
          <w:color w:val="auto"/>
          <w:sz w:val="24"/>
          <w:szCs w:val="24"/>
          <w:highlight w:val="none"/>
        </w:rPr>
        <w:t>%以上</w:t>
      </w:r>
      <w:r>
        <w:rPr>
          <w:rFonts w:hint="eastAsia" w:cs="仿宋" w:asciiTheme="minorEastAsia" w:hAnsiTheme="minorEastAsia" w:eastAsiaTheme="minorEastAsia"/>
          <w:color w:val="auto"/>
          <w:sz w:val="24"/>
          <w:szCs w:val="24"/>
          <w:highlight w:val="none"/>
        </w:rPr>
        <w:t>（同一点位不得长时间离线）</w:t>
      </w:r>
      <w:r>
        <w:rPr>
          <w:rFonts w:cs="仿宋" w:asciiTheme="minorEastAsia" w:hAnsiTheme="minorEastAsia" w:eastAsiaTheme="minorEastAsia"/>
          <w:color w:val="auto"/>
          <w:sz w:val="24"/>
          <w:szCs w:val="24"/>
          <w:highlight w:val="none"/>
        </w:rPr>
        <w:t>。</w:t>
      </w:r>
    </w:p>
    <w:p w14:paraId="32285A3F">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（四）考核内容</w:t>
      </w:r>
    </w:p>
    <w:p w14:paraId="6842C377">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考核内容包括运行维护、运行管理、奖惩措施等内容。</w:t>
      </w:r>
    </w:p>
    <w:p w14:paraId="2B178912">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1、在线率</w:t>
      </w:r>
    </w:p>
    <w:p w14:paraId="289DCFCC">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视频在线率达到98%以上（同一点位不得长时间离线）</w:t>
      </w:r>
    </w:p>
    <w:p w14:paraId="58E2E87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2、故障排除</w:t>
      </w:r>
    </w:p>
    <w:p w14:paraId="2FAF8518">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故障排除是指按照要求将视频掉线或其它异常情况恢复至正常状态，故障包括但不仅限于摄像机故障、线路故障等。因基站改造、网络故障、自然灾害（等不可抗力）造成视频掉线的，运维服务单位应及时向采购人报告，阐明掉线具体原因，经核实确认后该点位不再计入故障考核范围。</w:t>
      </w:r>
    </w:p>
    <w:p w14:paraId="0B09EE8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3、运行稳定性</w:t>
      </w:r>
    </w:p>
    <w:p w14:paraId="1447ED49">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运行稳定性是指视频能够持续在线的情况，要求画面正常，能够正常进行图片抓拍、视频录像存储等。</w:t>
      </w:r>
    </w:p>
    <w:p w14:paraId="128993D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4、运行效果</w:t>
      </w:r>
    </w:p>
    <w:p w14:paraId="22C2477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运行效果是指视频画面与监控对象一致，拍摄角度正确、画面清晰。</w:t>
      </w:r>
    </w:p>
    <w:p w14:paraId="119C888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5、报告</w:t>
      </w:r>
    </w:p>
    <w:p w14:paraId="430B1DA4">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报告是指运维服务单位每月编写《视频监控运维报告》，或根据监控中心工作需要，提供视频监控有关的各类报告。</w:t>
      </w:r>
    </w:p>
    <w:p w14:paraId="566D7A2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6、运维保障</w:t>
      </w:r>
    </w:p>
    <w:p w14:paraId="6F9A9D1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运维保障是指运维服务单位在办公机构、人员车辆保障等方面达到要求的情况。</w:t>
      </w:r>
    </w:p>
    <w:p w14:paraId="687ADF0B">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（五）考核方法</w:t>
      </w:r>
    </w:p>
    <w:p w14:paraId="1F4120F5">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1、考核周期</w:t>
      </w:r>
    </w:p>
    <w:p w14:paraId="0C156112">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考核每月进行一次，每月运维期结束后的7个工作日内完成考核。</w:t>
      </w:r>
    </w:p>
    <w:p w14:paraId="42BF650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2、计分方式</w:t>
      </w:r>
    </w:p>
    <w:p w14:paraId="48DC788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考核采用百分制，考核打分按四舍五入计算，保留一位小数，按打分标准（见 第六项）逐项评定。</w:t>
      </w:r>
    </w:p>
    <w:p w14:paraId="2730073A">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3、考核流程</w:t>
      </w:r>
    </w:p>
    <w:p w14:paraId="24B9C7A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考核程序分运行服务单位自评、采购人打分两个阶段。</w:t>
      </w:r>
    </w:p>
    <w:p w14:paraId="4AEBDD99">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（1）运维服务单位自评。运维服务单位按照考核办法要求自评，准备相关材料，编写运维工作报告。</w:t>
      </w:r>
    </w:p>
    <w:p w14:paraId="7C2F510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（2）采购人打分。在线率、故障排除、运行稳定性等情况根据视频监控系统中数据计算得出分数；报告、运行效果、运维保障由采购人根据实际情况打分。</w:t>
      </w:r>
    </w:p>
    <w:p w14:paraId="2E44DA8A">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（六）打分标准</w:t>
      </w:r>
    </w:p>
    <w:p w14:paraId="4E8939D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1、运行维护（70 分）</w:t>
      </w:r>
    </w:p>
    <w:p w14:paraId="1F008C6E">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（1）在线率（50 分）</w:t>
      </w:r>
    </w:p>
    <w:p w14:paraId="5AF222C7">
      <w:pPr>
        <w:spacing w:line="360" w:lineRule="auto"/>
        <w:ind w:left="76" w:right="76" w:firstLine="491"/>
        <w:rPr>
          <w:rFonts w:hint="default" w:cs="仿宋" w:asciiTheme="minorEastAsia" w:hAnsiTheme="minorEastAsia" w:eastAsiaTheme="minorEastAsia"/>
          <w:color w:val="auto"/>
          <w:sz w:val="24"/>
          <w:szCs w:val="24"/>
          <w:highlight w:val="none"/>
          <w:lang w:val="en-US" w:eastAsia="zh-CN"/>
        </w:rPr>
      </w:pPr>
      <w:r>
        <w:rPr>
          <w:rFonts w:hint="eastAsia" w:cs="仿宋" w:asciiTheme="minorEastAsia" w:hAnsiTheme="minorEastAsia" w:eastAsiaTheme="minorEastAsia"/>
          <w:color w:val="auto"/>
          <w:sz w:val="24"/>
          <w:szCs w:val="24"/>
          <w:highlight w:val="none"/>
        </w:rPr>
        <w:t>视频在线率为 98%（含）以上时不扣分，未达到 98%时，扣分=（98%-在线率） *100，在线率低于93%时，此项不得分。</w:t>
      </w:r>
      <w:r>
        <w:rPr>
          <w:rFonts w:hint="eastAsia" w:cs="仿宋" w:asciiTheme="minorEastAsia" w:hAnsiTheme="minorEastAsia" w:eastAsiaTheme="minorEastAsia"/>
          <w:color w:val="auto"/>
          <w:sz w:val="24"/>
          <w:szCs w:val="24"/>
          <w:highlight w:val="none"/>
          <w:lang w:val="en-US" w:eastAsia="zh-CN"/>
        </w:rPr>
        <w:t>注：在采购人的</w:t>
      </w:r>
      <w:r>
        <w:rPr>
          <w:rFonts w:hint="eastAsia" w:cs="仿宋" w:asciiTheme="minorEastAsia" w:hAnsiTheme="minorEastAsia" w:eastAsiaTheme="minorEastAsia"/>
          <w:color w:val="auto"/>
          <w:sz w:val="24"/>
          <w:szCs w:val="24"/>
          <w:highlight w:val="none"/>
        </w:rPr>
        <w:t>重大</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突发、应急活动时出现视频掉线，每处每次扣5分。</w:t>
      </w:r>
    </w:p>
    <w:p w14:paraId="45D015CC">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运维服务单位按日调度前端监控点位联网情况，并录入视频管理平台作为该日 的在线率，考核周期内日在线率的平均值作为在线率的考核依据。因基站改造、网 络故障、自然灾害等特殊情况等客观原因造成视频设备无法正常运行的，该点位按 正常运行计算在线率。采购人进行抽查，如发现运维服务单位调度、录入平台时 存在弄虚作假行为，此项不得分。</w:t>
      </w:r>
    </w:p>
    <w:p w14:paraId="171E8B94">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（2）故障排除（10 分）</w:t>
      </w:r>
    </w:p>
    <w:p w14:paraId="34E0A32B">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因视频设备或线路发生故障，需现场维修的，48小时内解决不扣分，超过48小时，每延后24小时扣1分。直至此项分数扣完为止。设备故障无法排除的，72 小时内完成更换不扣分，超过72小时，每延后24小时扣1分。直至此项分数扣完为止。</w:t>
      </w:r>
    </w:p>
    <w:p w14:paraId="7B4B280F">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视频管理平台中故障排除台账记录的统计结果作为考核依据，采购人进行抽查，如发现运行服务单位在记录电子台账时填写虚假信息，则此项不得分。</w:t>
      </w:r>
    </w:p>
    <w:p w14:paraId="1F9B037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（3）运行稳定性（10分）</w:t>
      </w:r>
    </w:p>
    <w:p w14:paraId="0B09C048">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单个点位一个月内出现三次及以上故障，无论是否按时排除故障，每个点位扣2分，直至此项分数扣完为止。视频管理平台中，关于故障排除台账记录的统计结果为考核依据。</w:t>
      </w:r>
    </w:p>
    <w:p w14:paraId="23495852">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2、运行管理（30分）</w:t>
      </w:r>
    </w:p>
    <w:p w14:paraId="2B57FC03">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（1）报告（10分）</w:t>
      </w:r>
    </w:p>
    <w:p w14:paraId="16165A8B">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未按时提交《视频监控系统报告》或其它视频监控报告的，不得分，报告内容不完整或内容不准确的，1处扣1分,直至此项分数扣完为止。</w:t>
      </w:r>
    </w:p>
    <w:p w14:paraId="0E4D4541">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根据运维服务单位报告提交的及时性，内容的完整性和准确性进行考核。</w:t>
      </w:r>
    </w:p>
    <w:p w14:paraId="0DD21CC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（2）运维保障（10分）</w:t>
      </w:r>
    </w:p>
    <w:p w14:paraId="2DFD5F6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运维保障包括两部分，分别是驻场人员（5分）、巡检人员及车辆保障（5分）。 驻场人员每脱岗一次或发现故障未及时反馈巡检队伍一次扣2.5分，直至此项分数扣完为止；巡检人员及车辆未达到投标文件承诺的，少一人或一辆车扣2.5分，直至此项分数扣完为止。</w:t>
      </w:r>
    </w:p>
    <w:p w14:paraId="1438A61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根据运行服务单位的运维保障情况进行考核。</w:t>
      </w:r>
    </w:p>
    <w:p w14:paraId="5CE54016">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（3）运行效果（10分）</w:t>
      </w:r>
    </w:p>
    <w:p w14:paraId="4EE9A060">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视频画面与监控对象不一致，镜头前有遮挡物影响观看，监控画面有花屏、闪 动、变形等影响正常观看的情况，每个点位发现一次扣1分，直至此项分数扣完为止。</w:t>
      </w:r>
    </w:p>
    <w:p w14:paraId="5105B627">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根据日常的调度管理情况进行考核。</w:t>
      </w:r>
    </w:p>
    <w:p w14:paraId="324C5B14">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3、奖惩措施</w:t>
      </w:r>
    </w:p>
    <w:p w14:paraId="2F7280FF">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运维服务单位在视频监控运维过程中，主动发现违法行为，经监控部门查证属 实的，每次奖励2分，考核分数最多为100分。</w:t>
      </w:r>
    </w:p>
    <w:p w14:paraId="738E8444">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运维服务单位在日常视频监控运维过程中，徇私舞弊，故意删除视频录像，运维考核整体为不合格。</w:t>
      </w:r>
    </w:p>
    <w:p w14:paraId="0876BF5D">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备注：中标人考核成绩在90分以上(含90分)为优秀，70分（含70分）至90分为合格，70分以下为不合格。中标人考核成绩为优秀的，采购人按应付款支付给中标人服务费；中标人考核成绩低于90分的，每低1分采购人扣减运维费2000元作为补偿；中标人考核成绩为不合格的，采购人有权解除与中标方的运维合同，并不再支付剩余合同价款。</w:t>
      </w:r>
    </w:p>
    <w:p w14:paraId="6567B291">
      <w:pPr>
        <w:spacing w:line="560" w:lineRule="exact"/>
        <w:ind w:firstLine="354" w:firstLineChars="147"/>
        <w:rPr>
          <w:rFonts w:ascii="黑体" w:hAnsi="黑体" w:eastAsia="黑体"/>
          <w:b/>
          <w:color w:val="auto"/>
          <w:sz w:val="24"/>
          <w:szCs w:val="24"/>
          <w:highlight w:val="none"/>
        </w:rPr>
      </w:pPr>
      <w:r>
        <w:rPr>
          <w:rFonts w:hint="eastAsia" w:ascii="黑体" w:hAnsi="黑体" w:eastAsia="黑体"/>
          <w:b/>
          <w:color w:val="auto"/>
          <w:sz w:val="24"/>
          <w:szCs w:val="24"/>
          <w:highlight w:val="none"/>
        </w:rPr>
        <w:t>三、保密要求</w:t>
      </w:r>
    </w:p>
    <w:p w14:paraId="189BDE93">
      <w:pPr>
        <w:pStyle w:val="65"/>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投标人应做到下列保密义务：</w:t>
      </w:r>
    </w:p>
    <w:p w14:paraId="0C95A4E3">
      <w:pPr>
        <w:pStyle w:val="65"/>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1、保密内容（包括技术信息）：所有项目相关的技术资料及商务文件。</w:t>
      </w:r>
    </w:p>
    <w:p w14:paraId="1DFB08D1">
      <w:pPr>
        <w:pStyle w:val="65"/>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2、涉密人员范围：投标人所有项目参与成员。</w:t>
      </w:r>
    </w:p>
    <w:p w14:paraId="069CEF8E">
      <w:pPr>
        <w:pStyle w:val="65"/>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3、泄密责任：按照国家法律规定执行。</w:t>
      </w:r>
    </w:p>
    <w:p w14:paraId="5617C287">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注：安阳殷墟世界文化遗产保护管理委员会安阳市殷墟遗址保护区智慧技术安全防范运行维护服务项目的中小企业划分标准所属行业为：软件和信息技术服务业。</w:t>
      </w:r>
    </w:p>
    <w:p w14:paraId="3E22E30C">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提醒：投标人按照采购文件中标明的服务项目的所属行业、按该行业所对应的中小企业划分标准，作为服务的承接商（供应商）是否属于小微企业的判断标准。</w:t>
      </w:r>
    </w:p>
    <w:p w14:paraId="6E2813C2">
      <w:pPr>
        <w:spacing w:line="360" w:lineRule="auto"/>
        <w:ind w:left="76" w:right="76" w:firstLine="491"/>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投标人不应按照自身的行业属性作为小微企业的判断标准（应按采购文件标明的所属行业进行判断）。</w:t>
      </w:r>
    </w:p>
    <w:p w14:paraId="622232DE">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14:paraId="3A27AF89">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投标服务（及所涉货物材料设施）应符合国家、行业的各</w:t>
      </w:r>
      <w:r>
        <w:rPr>
          <w:color w:val="auto"/>
          <w:sz w:val="24"/>
          <w:szCs w:val="24"/>
          <w:highlight w:val="none"/>
        </w:rPr>
        <w:t>项</w:t>
      </w:r>
      <w:r>
        <w:rPr>
          <w:rFonts w:hint="eastAsia"/>
          <w:color w:val="auto"/>
          <w:sz w:val="24"/>
          <w:szCs w:val="24"/>
          <w:highlight w:val="none"/>
        </w:rPr>
        <w:t>安全标准，投</w:t>
      </w:r>
      <w:r>
        <w:rPr>
          <w:color w:val="auto"/>
          <w:sz w:val="24"/>
          <w:szCs w:val="24"/>
          <w:highlight w:val="none"/>
        </w:rPr>
        <w:t>标</w:t>
      </w:r>
      <w:r>
        <w:rPr>
          <w:rFonts w:hint="eastAsia"/>
          <w:color w:val="auto"/>
          <w:sz w:val="24"/>
          <w:szCs w:val="24"/>
          <w:highlight w:val="none"/>
        </w:rPr>
        <w:t>人</w:t>
      </w:r>
      <w:r>
        <w:rPr>
          <w:color w:val="auto"/>
          <w:sz w:val="24"/>
          <w:szCs w:val="24"/>
          <w:highlight w:val="none"/>
        </w:rPr>
        <w:t>对</w:t>
      </w:r>
      <w:r>
        <w:rPr>
          <w:rFonts w:hint="eastAsia"/>
          <w:color w:val="auto"/>
          <w:sz w:val="24"/>
          <w:szCs w:val="24"/>
          <w:highlight w:val="none"/>
        </w:rPr>
        <w:t>投标服务（及所涉货物材料设施）的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同履行中的安全责任由中标人承担全部责任。</w:t>
      </w:r>
    </w:p>
    <w:p w14:paraId="2CC80512">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对“具体服务（技术）要求”的</w:t>
      </w:r>
      <w:r>
        <w:rPr>
          <w:rFonts w:ascii="黑体" w:hAnsi="黑体" w:eastAsia="黑体"/>
          <w:b/>
          <w:color w:val="auto"/>
          <w:sz w:val="24"/>
          <w:szCs w:val="24"/>
          <w:highlight w:val="none"/>
        </w:rPr>
        <w:t>响应</w:t>
      </w:r>
    </w:p>
    <w:p w14:paraId="4891A5CD">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标段（包）内容（具体范围、数量），具体服务（技术）要求</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技术参数抄袭招标文件“</w:t>
      </w:r>
      <w:r>
        <w:rPr>
          <w:rFonts w:hint="eastAsia" w:ascii="宋体" w:hAnsi="宋体"/>
          <w:color w:val="auto"/>
          <w:sz w:val="24"/>
          <w:szCs w:val="24"/>
          <w:highlight w:val="none"/>
        </w:rPr>
        <w:t>具体服务（技术）要求</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评标委员会有权按照实质性判断原则评定其为无效投标。</w:t>
      </w:r>
    </w:p>
    <w:p w14:paraId="628AB950">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7A6A05C1">
      <w:pPr>
        <w:widowControl w:val="0"/>
        <w:adjustRightInd w:val="0"/>
        <w:snapToGrid w:val="0"/>
        <w:spacing w:before="156" w:beforeLines="50" w:line="300" w:lineRule="auto"/>
        <w:ind w:firstLine="540"/>
        <w:rPr>
          <w:rFonts w:ascii="宋体" w:hAnsi="宋体"/>
          <w:color w:val="auto"/>
          <w:sz w:val="24"/>
          <w:szCs w:val="24"/>
          <w:highlight w:val="none"/>
        </w:rPr>
      </w:pPr>
      <w:r>
        <w:rPr>
          <w:color w:val="auto"/>
          <w:sz w:val="24"/>
          <w:szCs w:val="24"/>
          <w:highlight w:val="none"/>
        </w:rPr>
        <w:t>2.7.</w:t>
      </w:r>
      <w:r>
        <w:rPr>
          <w:rFonts w:hint="eastAsia"/>
          <w:color w:val="auto"/>
          <w:sz w:val="24"/>
          <w:szCs w:val="24"/>
          <w:highlight w:val="none"/>
        </w:rPr>
        <w:t>1★服务所涉货物材料设施的</w:t>
      </w:r>
      <w:r>
        <w:rPr>
          <w:rFonts w:hint="eastAsia" w:ascii="黑体" w:hAnsi="黑体" w:eastAsia="黑体"/>
          <w:b/>
          <w:color w:val="auto"/>
          <w:sz w:val="24"/>
          <w:szCs w:val="24"/>
          <w:highlight w:val="none"/>
        </w:rPr>
        <w:t>不接受负偏差，低于“具体服务（技术）要求”的、为无效投标。</w:t>
      </w:r>
    </w:p>
    <w:p w14:paraId="234E4786">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2C348449">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 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2F38A0A0">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20306C74">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无特殊要求，服务要求中已作要求的从其要求。</w:t>
      </w:r>
    </w:p>
    <w:p w14:paraId="719445F5">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2B385B46">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39ED8B7E">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中标人承担。</w:t>
      </w:r>
    </w:p>
    <w:p w14:paraId="6815F6F9">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2.9.2所涉货物包装：</w:t>
      </w:r>
    </w:p>
    <w:p w14:paraId="3E92E00C">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14:paraId="18304B8A">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07223A2E">
      <w:pPr>
        <w:adjustRightInd w:val="0"/>
        <w:snapToGrid w:val="0"/>
        <w:spacing w:line="300" w:lineRule="auto"/>
        <w:ind w:firstLine="564" w:firstLineChars="235"/>
        <w:jc w:val="left"/>
        <w:rPr>
          <w:rFonts w:ascii="黑体" w:hAnsi="黑体" w:eastAsia="黑体"/>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第9条“验收”条款。</w:t>
      </w:r>
    </w:p>
    <w:p w14:paraId="4BA30A53">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11055325">
      <w:pPr>
        <w:adjustRightInd w:val="0"/>
        <w:snapToGrid w:val="0"/>
        <w:spacing w:before="156" w:beforeLines="50" w:line="300" w:lineRule="auto"/>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    </w:t>
      </w:r>
      <w:r>
        <w:rPr>
          <w:rFonts w:hint="eastAsia"/>
          <w:color w:val="auto"/>
          <w:sz w:val="24"/>
          <w:szCs w:val="24"/>
          <w:highlight w:val="none"/>
        </w:rPr>
        <w:t xml:space="preserve">  无</w:t>
      </w:r>
    </w:p>
    <w:p w14:paraId="5E0B8018">
      <w:pPr>
        <w:adjustRightInd w:val="0"/>
        <w:snapToGrid w:val="0"/>
        <w:spacing w:before="156" w:beforeLines="50" w:line="300" w:lineRule="auto"/>
        <w:rPr>
          <w:rFonts w:ascii="黑体" w:hAnsi="黑体" w:eastAsia="黑体"/>
          <w:b/>
          <w:color w:val="auto"/>
          <w:sz w:val="24"/>
          <w:szCs w:val="24"/>
          <w:highlight w:val="none"/>
        </w:rPr>
      </w:pPr>
    </w:p>
    <w:p w14:paraId="6B91E5C0">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6" w:name="_Toc186018361"/>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26"/>
    </w:p>
    <w:p w14:paraId="148B60A9">
      <w:pPr>
        <w:spacing w:line="360" w:lineRule="auto"/>
        <w:ind w:left="76" w:right="76" w:firstLine="491"/>
        <w:rPr>
          <w:rFonts w:cs="仿宋" w:asciiTheme="minorEastAsia" w:hAnsiTheme="minorEastAsia" w:eastAsiaTheme="minorEastAsia"/>
          <w:color w:val="auto"/>
          <w:sz w:val="24"/>
          <w:szCs w:val="24"/>
          <w:highlight w:val="none"/>
        </w:rPr>
        <w:sectPr>
          <w:footerReference r:id="rId9" w:type="default"/>
          <w:pgSz w:w="11906" w:h="16838"/>
          <w:pgMar w:top="1417" w:right="1587" w:bottom="1417" w:left="1587" w:header="851" w:footer="992" w:gutter="0"/>
          <w:cols w:space="425" w:num="1"/>
          <w:docGrid w:type="lines" w:linePitch="312" w:charSpace="0"/>
        </w:sectPr>
      </w:pPr>
      <w:r>
        <w:rPr>
          <w:rFonts w:hint="eastAsia"/>
          <w:color w:val="auto"/>
          <w:sz w:val="24"/>
          <w:szCs w:val="24"/>
          <w:highlight w:val="none"/>
        </w:rPr>
        <w:t>无</w:t>
      </w:r>
    </w:p>
    <w:p w14:paraId="0AA8ECFF">
      <w:pPr>
        <w:spacing w:line="360" w:lineRule="auto"/>
        <w:ind w:right="238"/>
        <w:jc w:val="center"/>
        <w:outlineLvl w:val="0"/>
        <w:rPr>
          <w:rFonts w:ascii="黑体" w:hAnsi="黑体" w:eastAsia="黑体"/>
          <w:b/>
          <w:color w:val="auto"/>
          <w:sz w:val="24"/>
          <w:szCs w:val="24"/>
          <w:highlight w:val="none"/>
        </w:rPr>
      </w:pPr>
    </w:p>
    <w:p w14:paraId="3E0A9EBF">
      <w:pPr>
        <w:spacing w:line="360" w:lineRule="auto"/>
        <w:ind w:right="238"/>
        <w:jc w:val="center"/>
        <w:outlineLvl w:val="0"/>
        <w:rPr>
          <w:rFonts w:eastAsia="黑体"/>
          <w:b/>
          <w:color w:val="auto"/>
          <w:sz w:val="36"/>
          <w:szCs w:val="36"/>
          <w:highlight w:val="none"/>
        </w:rPr>
      </w:pPr>
      <w:bookmarkStart w:id="27" w:name="_Toc186018362"/>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投标人须知</w:t>
      </w:r>
      <w:bookmarkEnd w:id="27"/>
    </w:p>
    <w:p w14:paraId="523C2AC6">
      <w:pPr>
        <w:spacing w:line="360" w:lineRule="auto"/>
        <w:ind w:right="240"/>
        <w:jc w:val="center"/>
        <w:rPr>
          <w:rFonts w:eastAsia="黑体"/>
          <w:b/>
          <w:color w:val="auto"/>
          <w:spacing w:val="36"/>
          <w:sz w:val="36"/>
          <w:szCs w:val="36"/>
          <w:highlight w:val="none"/>
        </w:rPr>
      </w:pPr>
    </w:p>
    <w:p w14:paraId="2292A897">
      <w:pPr>
        <w:spacing w:line="360" w:lineRule="auto"/>
        <w:ind w:right="238"/>
        <w:jc w:val="left"/>
        <w:outlineLvl w:val="1"/>
        <w:rPr>
          <w:rFonts w:eastAsia="黑体"/>
          <w:b/>
          <w:color w:val="auto"/>
          <w:sz w:val="28"/>
          <w:szCs w:val="28"/>
          <w:highlight w:val="none"/>
        </w:rPr>
      </w:pPr>
      <w:bookmarkStart w:id="28" w:name="_Toc186018363"/>
      <w:r>
        <w:rPr>
          <w:rFonts w:hint="eastAsia" w:eastAsia="黑体"/>
          <w:b/>
          <w:color w:val="auto"/>
          <w:sz w:val="28"/>
          <w:szCs w:val="28"/>
          <w:highlight w:val="none"/>
        </w:rPr>
        <w:t>投标人须知前附表</w:t>
      </w:r>
      <w:bookmarkEnd w:id="28"/>
    </w:p>
    <w:tbl>
      <w:tblPr>
        <w:tblStyle w:val="18"/>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9"/>
        <w:gridCol w:w="1961"/>
        <w:gridCol w:w="6590"/>
      </w:tblGrid>
      <w:tr w14:paraId="3DE7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14:paraId="234F03A2">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vAlign w:val="center"/>
          </w:tcPr>
          <w:p w14:paraId="5E2B3CF0">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961" w:type="dxa"/>
            <w:vAlign w:val="center"/>
          </w:tcPr>
          <w:p w14:paraId="4CDB889C">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590" w:type="dxa"/>
            <w:vAlign w:val="center"/>
          </w:tcPr>
          <w:p w14:paraId="6D6CDCBB">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6BE3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14:paraId="695A6096">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vAlign w:val="center"/>
          </w:tcPr>
          <w:p w14:paraId="71B1BB57">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961" w:type="dxa"/>
            <w:vAlign w:val="center"/>
          </w:tcPr>
          <w:p w14:paraId="644DBA41">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招标项目名称</w:t>
            </w:r>
          </w:p>
        </w:tc>
        <w:tc>
          <w:tcPr>
            <w:tcW w:w="6590" w:type="dxa"/>
            <w:vAlign w:val="center"/>
          </w:tcPr>
          <w:p w14:paraId="6A9B79A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14:paraId="5189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7CCE0CE9">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14:paraId="58DE25B5">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961" w:type="dxa"/>
            <w:vAlign w:val="center"/>
          </w:tcPr>
          <w:p w14:paraId="058A8B9A">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590" w:type="dxa"/>
            <w:vAlign w:val="center"/>
          </w:tcPr>
          <w:p w14:paraId="1F478FFC">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0E47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661FACA4">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14:paraId="106D33AD">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961" w:type="dxa"/>
            <w:vAlign w:val="center"/>
          </w:tcPr>
          <w:p w14:paraId="3BB09F8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590" w:type="dxa"/>
            <w:vAlign w:val="center"/>
          </w:tcPr>
          <w:p w14:paraId="6C02FC2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公开</w:t>
            </w:r>
            <w:r>
              <w:rPr>
                <w:color w:val="auto"/>
                <w:sz w:val="24"/>
                <w:szCs w:val="24"/>
                <w:highlight w:val="none"/>
              </w:rPr>
              <w:t>招标</w:t>
            </w:r>
          </w:p>
        </w:tc>
      </w:tr>
      <w:tr w14:paraId="6323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14:paraId="771C999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A8C4331">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961" w:type="dxa"/>
            <w:vAlign w:val="center"/>
          </w:tcPr>
          <w:p w14:paraId="1DD5751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590" w:type="dxa"/>
            <w:vAlign w:val="center"/>
          </w:tcPr>
          <w:p w14:paraId="590A6632">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r>
              <w:rPr>
                <w:rFonts w:hint="eastAsia" w:ascii="宋体" w:hAnsi="宋体" w:cs="楷体_GB2312"/>
                <w:b/>
                <w:color w:val="auto"/>
                <w:sz w:val="24"/>
                <w:highlight w:val="none"/>
                <w:lang w:val="zh-CN"/>
              </w:rPr>
              <w:t>注：投标人的投标报价未超过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的不足三家时，该标段（包）废标。</w:t>
            </w:r>
          </w:p>
        </w:tc>
      </w:tr>
      <w:tr w14:paraId="216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7C0EE4C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75F9BF6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961" w:type="dxa"/>
            <w:vAlign w:val="center"/>
          </w:tcPr>
          <w:p w14:paraId="30F098F5">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590" w:type="dxa"/>
            <w:vAlign w:val="center"/>
          </w:tcPr>
          <w:p w14:paraId="40F77A51">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44A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2F92CE6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3D35B55">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961" w:type="dxa"/>
            <w:vAlign w:val="center"/>
          </w:tcPr>
          <w:p w14:paraId="4A528A43">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590" w:type="dxa"/>
            <w:vAlign w:val="center"/>
          </w:tcPr>
          <w:p w14:paraId="7B7FA218">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7280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304DFDA0">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0053EC81">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961" w:type="dxa"/>
            <w:vAlign w:val="center"/>
          </w:tcPr>
          <w:p w14:paraId="66D4D97E">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590" w:type="dxa"/>
            <w:vAlign w:val="center"/>
          </w:tcPr>
          <w:p w14:paraId="427923FF">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2D4B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14:paraId="34EFD0E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vAlign w:val="center"/>
          </w:tcPr>
          <w:p w14:paraId="0721F5C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961" w:type="dxa"/>
            <w:vAlign w:val="center"/>
          </w:tcPr>
          <w:p w14:paraId="2DC92F1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590" w:type="dxa"/>
            <w:vAlign w:val="center"/>
          </w:tcPr>
          <w:p w14:paraId="0660D167">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见“第二章招标项目要求及采购需求”相应条款</w:t>
            </w:r>
          </w:p>
        </w:tc>
      </w:tr>
      <w:tr w14:paraId="0521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60AD81A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B732380">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961" w:type="dxa"/>
            <w:vAlign w:val="center"/>
          </w:tcPr>
          <w:p w14:paraId="3FCA435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交付&lt;实施&gt;期</w:t>
            </w:r>
          </w:p>
        </w:tc>
        <w:tc>
          <w:tcPr>
            <w:tcW w:w="6590" w:type="dxa"/>
            <w:vAlign w:val="center"/>
          </w:tcPr>
          <w:p w14:paraId="6B36EFA8">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见“第二章招标项目要求及采购需求”</w:t>
            </w:r>
            <w:r>
              <w:rPr>
                <w:rFonts w:hint="eastAsia"/>
                <w:color w:val="auto"/>
                <w:sz w:val="24"/>
                <w:szCs w:val="24"/>
                <w:highlight w:val="none"/>
              </w:rPr>
              <w:t>相应条款</w:t>
            </w:r>
          </w:p>
        </w:tc>
      </w:tr>
      <w:tr w14:paraId="7A0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7DF58F90">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8E73CA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961" w:type="dxa"/>
            <w:vAlign w:val="center"/>
          </w:tcPr>
          <w:p w14:paraId="0AC9416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交付（实施）</w:t>
            </w:r>
            <w:r>
              <w:rPr>
                <w:rFonts w:hint="eastAsia" w:ascii="宋体" w:hAnsi="宋体" w:cs="楷体_GB2312"/>
                <w:b/>
                <w:bCs/>
                <w:color w:val="auto"/>
                <w:sz w:val="24"/>
                <w:highlight w:val="none"/>
                <w:lang w:val="zh-CN"/>
              </w:rPr>
              <w:t>地</w:t>
            </w:r>
          </w:p>
        </w:tc>
        <w:tc>
          <w:tcPr>
            <w:tcW w:w="6590" w:type="dxa"/>
            <w:vAlign w:val="center"/>
          </w:tcPr>
          <w:p w14:paraId="7139A03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23E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3BF52D3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7FE13BD">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961" w:type="dxa"/>
            <w:vAlign w:val="center"/>
          </w:tcPr>
          <w:p w14:paraId="7948DB7A">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590" w:type="dxa"/>
            <w:vAlign w:val="center"/>
          </w:tcPr>
          <w:p w14:paraId="6C56E83A">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见“第二章招标项目要求及采购需求”相应条款</w:t>
            </w:r>
          </w:p>
        </w:tc>
      </w:tr>
      <w:tr w14:paraId="4F04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3393092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0A52614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961" w:type="dxa"/>
            <w:vAlign w:val="center"/>
          </w:tcPr>
          <w:p w14:paraId="778F2DA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标段（包）内容（范围）及具体采购需求</w:t>
            </w:r>
          </w:p>
        </w:tc>
        <w:tc>
          <w:tcPr>
            <w:tcW w:w="6590" w:type="dxa"/>
            <w:vAlign w:val="center"/>
          </w:tcPr>
          <w:p w14:paraId="13FB30B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50C9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tcPr>
          <w:p w14:paraId="72D52E5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14:paraId="064AE242">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961" w:type="dxa"/>
            <w:vAlign w:val="center"/>
          </w:tcPr>
          <w:p w14:paraId="0347094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590" w:type="dxa"/>
            <w:vAlign w:val="center"/>
          </w:tcPr>
          <w:p w14:paraId="7178841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14:paraId="59C6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57379E3C">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2C5D7ACF">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961" w:type="dxa"/>
            <w:vAlign w:val="center"/>
          </w:tcPr>
          <w:p w14:paraId="580731B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590" w:type="dxa"/>
            <w:vAlign w:val="center"/>
          </w:tcPr>
          <w:p w14:paraId="4796157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7B95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7FAD43DB">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AA990DA">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961" w:type="dxa"/>
            <w:vAlign w:val="center"/>
          </w:tcPr>
          <w:p w14:paraId="225EE7E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开标前答疑会</w:t>
            </w:r>
          </w:p>
        </w:tc>
        <w:tc>
          <w:tcPr>
            <w:tcW w:w="6590" w:type="dxa"/>
            <w:vAlign w:val="center"/>
          </w:tcPr>
          <w:p w14:paraId="239517D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439E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1ABFA5F3">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7F4F5B65">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961" w:type="dxa"/>
            <w:vAlign w:val="center"/>
          </w:tcPr>
          <w:p w14:paraId="43F9EA1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590" w:type="dxa"/>
            <w:vAlign w:val="center"/>
          </w:tcPr>
          <w:p w14:paraId="16B5FD6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5770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1B9BB2DE">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2C1E9429">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961" w:type="dxa"/>
            <w:vAlign w:val="center"/>
          </w:tcPr>
          <w:p w14:paraId="0EB2D97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构成招标文件的其他材料</w:t>
            </w:r>
          </w:p>
        </w:tc>
        <w:tc>
          <w:tcPr>
            <w:tcW w:w="6590" w:type="dxa"/>
            <w:vAlign w:val="center"/>
          </w:tcPr>
          <w:p w14:paraId="78BF6D5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23D8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58DBBE44">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56ADB860">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1961" w:type="dxa"/>
            <w:vAlign w:val="center"/>
          </w:tcPr>
          <w:p w14:paraId="78ADDE47">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590" w:type="dxa"/>
            <w:vAlign w:val="center"/>
          </w:tcPr>
          <w:p w14:paraId="7748F2F3">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公告期结束或获取招标文件</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个工作日内。</w:t>
            </w:r>
          </w:p>
        </w:tc>
      </w:tr>
      <w:tr w14:paraId="1758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2FEE3261">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E4F6E26">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2.3</w:t>
            </w:r>
          </w:p>
        </w:tc>
        <w:tc>
          <w:tcPr>
            <w:tcW w:w="1961" w:type="dxa"/>
            <w:vAlign w:val="center"/>
          </w:tcPr>
          <w:p w14:paraId="61C9C8EA">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招标文件的澄清修改补充告知方式</w:t>
            </w:r>
          </w:p>
        </w:tc>
        <w:tc>
          <w:tcPr>
            <w:tcW w:w="6590" w:type="dxa"/>
            <w:vAlign w:val="center"/>
          </w:tcPr>
          <w:p w14:paraId="1E4CF8D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50E7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14:paraId="4EDBF99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7D6C0161">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1961" w:type="dxa"/>
            <w:vAlign w:val="center"/>
          </w:tcPr>
          <w:p w14:paraId="463C6854">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招标文件澄清修改补充时间</w:t>
            </w:r>
          </w:p>
        </w:tc>
        <w:tc>
          <w:tcPr>
            <w:tcW w:w="6590" w:type="dxa"/>
            <w:vAlign w:val="center"/>
          </w:tcPr>
          <w:p w14:paraId="50E82711">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15</w:t>
            </w:r>
            <w:r>
              <w:rPr>
                <w:rFonts w:hint="eastAsia" w:ascii="宋体" w:hAnsi="宋体" w:cs="楷体_GB2312"/>
                <w:color w:val="auto"/>
                <w:sz w:val="24"/>
                <w:highlight w:val="none"/>
                <w:lang w:val="zh-CN"/>
              </w:rPr>
              <w:t>日前。</w:t>
            </w:r>
          </w:p>
        </w:tc>
      </w:tr>
      <w:tr w14:paraId="0D44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14:paraId="0E2E3EA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DB7A999">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961" w:type="dxa"/>
            <w:vAlign w:val="center"/>
          </w:tcPr>
          <w:p w14:paraId="0492DC3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构成投标文件的其他材料</w:t>
            </w:r>
          </w:p>
        </w:tc>
        <w:tc>
          <w:tcPr>
            <w:tcW w:w="6590" w:type="dxa"/>
            <w:vAlign w:val="center"/>
          </w:tcPr>
          <w:p w14:paraId="008219F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6D8F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tcPr>
          <w:p w14:paraId="49477C87">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7D5B13D4">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13233004">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1961" w:type="dxa"/>
            <w:vAlign w:val="center"/>
          </w:tcPr>
          <w:p w14:paraId="27A15C5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590" w:type="dxa"/>
            <w:vAlign w:val="center"/>
          </w:tcPr>
          <w:p w14:paraId="35BF868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122D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tcPr>
          <w:p w14:paraId="5C75168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BF8398B">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1961" w:type="dxa"/>
            <w:vAlign w:val="center"/>
          </w:tcPr>
          <w:p w14:paraId="2DDC286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24D329F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590" w:type="dxa"/>
            <w:vAlign w:val="center"/>
          </w:tcPr>
          <w:p w14:paraId="0DD5CF27">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14:paraId="7F041939">
            <w:pPr>
              <w:pStyle w:val="52"/>
              <w:snapToGrid w:val="0"/>
              <w:spacing w:before="156" w:beforeLines="50" w:beforeAutospacing="0" w:after="0" w:afterAutospacing="0"/>
              <w:jc w:val="both"/>
              <w:rPr>
                <w:color w:val="auto"/>
                <w:sz w:val="24"/>
                <w:szCs w:val="24"/>
                <w:highlight w:val="none"/>
              </w:rPr>
            </w:pPr>
            <w:r>
              <w:rPr>
                <w:rFonts w:hint="eastAsia"/>
                <w:color w:val="auto"/>
                <w:sz w:val="24"/>
                <w:szCs w:val="24"/>
                <w:highlight w:val="none"/>
              </w:rPr>
              <w:t>供应商应按附件格式进行投标承诺、违背承诺的责任追究。</w:t>
            </w:r>
          </w:p>
        </w:tc>
      </w:tr>
      <w:tr w14:paraId="50D9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14:paraId="3973190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6C29BB0B">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961" w:type="dxa"/>
            <w:vAlign w:val="center"/>
          </w:tcPr>
          <w:p w14:paraId="1362E14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590" w:type="dxa"/>
            <w:vAlign w:val="center"/>
          </w:tcPr>
          <w:p w14:paraId="701871E4">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47C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14:paraId="7CFFB37A">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C3C22FD">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w:t>
            </w:r>
            <w:r>
              <w:rPr>
                <w:rFonts w:hint="eastAsia" w:ascii="宋体" w:hAnsi="宋体" w:cs="楷体_GB2312"/>
                <w:b/>
                <w:bCs/>
                <w:color w:val="auto"/>
                <w:szCs w:val="21"/>
                <w:highlight w:val="none"/>
              </w:rPr>
              <w:t>4</w:t>
            </w:r>
          </w:p>
        </w:tc>
        <w:tc>
          <w:tcPr>
            <w:tcW w:w="1961" w:type="dxa"/>
            <w:vAlign w:val="center"/>
          </w:tcPr>
          <w:p w14:paraId="10E9C19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590" w:type="dxa"/>
            <w:vAlign w:val="center"/>
          </w:tcPr>
          <w:p w14:paraId="0C04985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1C98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tcPr>
          <w:p w14:paraId="74190663">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792E4367">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w:t>
            </w:r>
            <w:r>
              <w:rPr>
                <w:rFonts w:hint="eastAsia" w:ascii="宋体" w:hAnsi="宋体" w:cs="楷体_GB2312"/>
                <w:b/>
                <w:bCs/>
                <w:color w:val="auto"/>
                <w:szCs w:val="21"/>
                <w:highlight w:val="none"/>
              </w:rPr>
              <w:t>4</w:t>
            </w:r>
          </w:p>
        </w:tc>
        <w:tc>
          <w:tcPr>
            <w:tcW w:w="1961" w:type="dxa"/>
            <w:vAlign w:val="center"/>
          </w:tcPr>
          <w:p w14:paraId="296F73C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590" w:type="dxa"/>
            <w:vAlign w:val="center"/>
          </w:tcPr>
          <w:p w14:paraId="40F45C12">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1C39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14:paraId="77389053">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890D571">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7.1</w:t>
            </w:r>
          </w:p>
        </w:tc>
        <w:tc>
          <w:tcPr>
            <w:tcW w:w="1961" w:type="dxa"/>
            <w:vAlign w:val="center"/>
          </w:tcPr>
          <w:p w14:paraId="4A0420F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评标委员会的组建</w:t>
            </w:r>
          </w:p>
        </w:tc>
        <w:tc>
          <w:tcPr>
            <w:tcW w:w="6590" w:type="dxa"/>
            <w:vAlign w:val="center"/>
          </w:tcPr>
          <w:p w14:paraId="4794134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C22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tcPr>
          <w:p w14:paraId="65DA91DA">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vAlign w:val="center"/>
          </w:tcPr>
          <w:p w14:paraId="06E2F2B7">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8.1</w:t>
            </w:r>
          </w:p>
        </w:tc>
        <w:tc>
          <w:tcPr>
            <w:tcW w:w="1961" w:type="dxa"/>
            <w:vAlign w:val="center"/>
          </w:tcPr>
          <w:p w14:paraId="04128FCE">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是否授权评标委员会确定中标人</w:t>
            </w:r>
          </w:p>
        </w:tc>
        <w:tc>
          <w:tcPr>
            <w:tcW w:w="6590" w:type="dxa"/>
            <w:vAlign w:val="center"/>
          </w:tcPr>
          <w:p w14:paraId="3B1C5277">
            <w:pPr>
              <w:adjustRightInd w:val="0"/>
              <w:snapToGrid w:val="0"/>
              <w:spacing w:before="156" w:beforeLines="50" w:line="240" w:lineRule="auto"/>
              <w:rPr>
                <w:rFonts w:ascii="宋体"/>
                <w:color w:val="auto"/>
                <w:sz w:val="24"/>
                <w:highlight w:val="none"/>
              </w:rPr>
            </w:pPr>
            <w:r>
              <w:rPr>
                <w:rFonts w:hint="eastAsia" w:ascii="宋体" w:hAnsi="宋体"/>
                <w:color w:val="auto"/>
                <w:sz w:val="24"/>
                <w:highlight w:val="none"/>
              </w:rPr>
              <w:t>是。评标委员会按照综合得分由高到低的顺序提出</w:t>
            </w:r>
            <w:r>
              <w:rPr>
                <w:rFonts w:ascii="宋体" w:hAnsi="宋体"/>
                <w:color w:val="auto"/>
                <w:sz w:val="24"/>
                <w:highlight w:val="none"/>
              </w:rPr>
              <w:t>3</w:t>
            </w:r>
            <w:r>
              <w:rPr>
                <w:rFonts w:hint="eastAsia" w:ascii="宋体" w:hAnsi="宋体"/>
                <w:color w:val="auto"/>
                <w:sz w:val="24"/>
                <w:highlight w:val="none"/>
              </w:rPr>
              <w:t>名中标候选人，并确定排名第一的中标候选人为中标人。</w:t>
            </w:r>
          </w:p>
        </w:tc>
      </w:tr>
      <w:tr w14:paraId="585A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3EC34913">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D2528F1">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8.2</w:t>
            </w:r>
          </w:p>
        </w:tc>
        <w:tc>
          <w:tcPr>
            <w:tcW w:w="1961" w:type="dxa"/>
            <w:vAlign w:val="center"/>
          </w:tcPr>
          <w:p w14:paraId="34A86DA5">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中标结果公告</w:t>
            </w:r>
          </w:p>
        </w:tc>
        <w:tc>
          <w:tcPr>
            <w:tcW w:w="6590" w:type="dxa"/>
            <w:vAlign w:val="center"/>
          </w:tcPr>
          <w:p w14:paraId="3CA32131">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本次公开招标的中标结果将在中标人确定当天即时在招标公告所述媒介公告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02D7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7CD70957">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20A1CE02">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8.3</w:t>
            </w:r>
          </w:p>
        </w:tc>
        <w:tc>
          <w:tcPr>
            <w:tcW w:w="1961" w:type="dxa"/>
            <w:vAlign w:val="center"/>
          </w:tcPr>
          <w:p w14:paraId="2EEDD4CE">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590" w:type="dxa"/>
            <w:vAlign w:val="center"/>
          </w:tcPr>
          <w:p w14:paraId="55FC4CCD">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305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74E2E143">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5A8D9C1">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8.4</w:t>
            </w:r>
          </w:p>
        </w:tc>
        <w:tc>
          <w:tcPr>
            <w:tcW w:w="1961" w:type="dxa"/>
            <w:vAlign w:val="center"/>
          </w:tcPr>
          <w:p w14:paraId="4FDA1B6A">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中标通知书</w:t>
            </w:r>
          </w:p>
        </w:tc>
        <w:tc>
          <w:tcPr>
            <w:tcW w:w="6590" w:type="dxa"/>
            <w:vAlign w:val="center"/>
          </w:tcPr>
          <w:p w14:paraId="45A010FC">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采购代理机构在中标人确定当天即时向中标人发出中标通知书。中标人应凭缴费凭证及时领取中标通知书。</w:t>
            </w:r>
          </w:p>
        </w:tc>
      </w:tr>
      <w:tr w14:paraId="2602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tcPr>
          <w:p w14:paraId="0730C5B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14:paraId="6FCFA7E4">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8.5</w:t>
            </w:r>
          </w:p>
        </w:tc>
        <w:tc>
          <w:tcPr>
            <w:tcW w:w="1961" w:type="dxa"/>
            <w:vAlign w:val="center"/>
          </w:tcPr>
          <w:p w14:paraId="71CC2D4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90" w:type="dxa"/>
            <w:vAlign w:val="center"/>
          </w:tcPr>
          <w:p w14:paraId="0E4C0B28">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14:paraId="6AA3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33CC53ED">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1504C53A">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9</w:t>
            </w:r>
          </w:p>
        </w:tc>
        <w:tc>
          <w:tcPr>
            <w:tcW w:w="1961" w:type="dxa"/>
            <w:vAlign w:val="center"/>
          </w:tcPr>
          <w:p w14:paraId="47229D2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590" w:type="dxa"/>
            <w:vAlign w:val="center"/>
          </w:tcPr>
          <w:p w14:paraId="6C20F1CE">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14:paraId="6A7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5ED9C73A">
            <w:pPr>
              <w:autoSpaceDE w:val="0"/>
              <w:autoSpaceDN w:val="0"/>
              <w:adjustRightInd w:val="0"/>
              <w:spacing w:line="360" w:lineRule="auto"/>
              <w:rPr>
                <w:rFonts w:ascii="宋体" w:cs="楷体_GB2312"/>
                <w:b/>
                <w:bCs/>
                <w:color w:val="auto"/>
                <w:sz w:val="24"/>
                <w:highlight w:val="none"/>
              </w:rPr>
            </w:pPr>
          </w:p>
        </w:tc>
        <w:tc>
          <w:tcPr>
            <w:tcW w:w="699" w:type="dxa"/>
            <w:vAlign w:val="center"/>
          </w:tcPr>
          <w:p w14:paraId="4E27B113">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10</w:t>
            </w:r>
          </w:p>
        </w:tc>
        <w:tc>
          <w:tcPr>
            <w:tcW w:w="1961" w:type="dxa"/>
            <w:vAlign w:val="center"/>
          </w:tcPr>
          <w:p w14:paraId="1D6765E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90" w:type="dxa"/>
            <w:vAlign w:val="center"/>
          </w:tcPr>
          <w:p w14:paraId="0C6DB668">
            <w:pPr>
              <w:ind w:firstLine="360" w:firstLineChars="150"/>
              <w:rPr>
                <w:color w:val="auto"/>
                <w:sz w:val="24"/>
                <w:szCs w:val="24"/>
                <w:highlight w:val="none"/>
              </w:rPr>
            </w:pPr>
            <w:bookmarkStart w:id="29" w:name="OLE_LINK11"/>
            <w:r>
              <w:rPr>
                <w:rFonts w:hint="eastAsia"/>
                <w:color w:val="auto"/>
                <w:sz w:val="24"/>
                <w:szCs w:val="24"/>
                <w:highlight w:val="none"/>
              </w:rPr>
              <w:t>网上提交支付申请后，凭借网上打印的《殷都区政府采购资金申请表》，经采购人盖章后，作为付款依据；</w:t>
            </w:r>
            <w:r>
              <w:rPr>
                <w:rFonts w:hint="eastAsia" w:cs="仿宋" w:asciiTheme="minorEastAsia" w:hAnsiTheme="minorEastAsia" w:eastAsiaTheme="minorEastAsia"/>
                <w:color w:val="auto"/>
                <w:sz w:val="24"/>
                <w:szCs w:val="24"/>
                <w:highlight w:val="none"/>
              </w:rPr>
              <w:t>按半年（六个月）支付一次款项，采购人每月对中标人的运维工作进行考核，每六个月汇总考核情况，按考核情况向中标方支付合同价款。</w:t>
            </w:r>
            <w:bookmarkEnd w:id="29"/>
          </w:p>
        </w:tc>
      </w:tr>
      <w:tr w14:paraId="2598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tcPr>
          <w:p w14:paraId="3437ECBE">
            <w:pPr>
              <w:autoSpaceDE w:val="0"/>
              <w:autoSpaceDN w:val="0"/>
              <w:adjustRightInd w:val="0"/>
              <w:spacing w:line="360" w:lineRule="auto"/>
              <w:rPr>
                <w:rFonts w:ascii="宋体" w:cs="楷体_GB2312"/>
                <w:b/>
                <w:bCs/>
                <w:color w:val="auto"/>
                <w:sz w:val="24"/>
                <w:highlight w:val="none"/>
              </w:rPr>
            </w:pPr>
          </w:p>
        </w:tc>
        <w:tc>
          <w:tcPr>
            <w:tcW w:w="699" w:type="dxa"/>
            <w:vAlign w:val="center"/>
          </w:tcPr>
          <w:p w14:paraId="2165635C">
            <w:pPr>
              <w:autoSpaceDE w:val="0"/>
              <w:autoSpaceDN w:val="0"/>
              <w:adjustRightInd w:val="0"/>
              <w:spacing w:line="360" w:lineRule="auto"/>
              <w:jc w:val="center"/>
              <w:rPr>
                <w:rFonts w:ascii="宋体" w:hAnsi="宋体" w:cs="楷体_GB2312"/>
                <w:b/>
                <w:bCs/>
                <w:color w:val="auto"/>
                <w:sz w:val="24"/>
                <w:highlight w:val="none"/>
              </w:rPr>
            </w:pPr>
            <w:r>
              <w:rPr>
                <w:rFonts w:ascii="宋体" w:hAnsi="宋体" w:cs="楷体_GB2312"/>
                <w:b/>
                <w:bCs/>
                <w:color w:val="auto"/>
                <w:sz w:val="24"/>
                <w:highlight w:val="none"/>
              </w:rPr>
              <w:t>11</w:t>
            </w:r>
          </w:p>
        </w:tc>
        <w:tc>
          <w:tcPr>
            <w:tcW w:w="1961" w:type="dxa"/>
            <w:vAlign w:val="center"/>
          </w:tcPr>
          <w:p w14:paraId="5D56EBB4">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590" w:type="dxa"/>
            <w:vAlign w:val="center"/>
          </w:tcPr>
          <w:p w14:paraId="5A8D8BBB">
            <w:pPr>
              <w:adjustRightInd w:val="0"/>
              <w:snapToGrid w:val="0"/>
              <w:spacing w:before="156" w:beforeLines="50" w:line="240" w:lineRule="auto"/>
              <w:rPr>
                <w:rFonts w:ascii="宋体"/>
                <w:b/>
                <w:color w:val="auto"/>
                <w:sz w:val="24"/>
                <w:highlight w:val="none"/>
              </w:rPr>
            </w:pPr>
            <w:r>
              <w:rPr>
                <w:rFonts w:hint="eastAsia" w:ascii="宋体" w:hAnsi="宋体"/>
                <w:color w:val="auto"/>
                <w:sz w:val="24"/>
                <w:highlight w:val="none"/>
              </w:rPr>
              <w:t>按服务期限参照国家计委《招标代理服务收费管理暂行办法》（计价格【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号文件的规定，招标代理服务费由中标供应商支付。</w:t>
            </w:r>
          </w:p>
        </w:tc>
      </w:tr>
    </w:tbl>
    <w:p w14:paraId="67F40E10">
      <w:pPr>
        <w:autoSpaceDE w:val="0"/>
        <w:autoSpaceDN w:val="0"/>
        <w:adjustRightInd w:val="0"/>
        <w:spacing w:line="360" w:lineRule="auto"/>
        <w:ind w:firstLine="539"/>
        <w:rPr>
          <w:color w:val="auto"/>
          <w:highlight w:val="none"/>
        </w:rPr>
      </w:pPr>
      <w:r>
        <w:rPr>
          <w:color w:val="auto"/>
          <w:highlight w:val="none"/>
        </w:rPr>
        <w:br w:type="page"/>
      </w:r>
    </w:p>
    <w:p w14:paraId="4D8CA276">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30" w:name="_Toc186018364"/>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30"/>
    </w:p>
    <w:p w14:paraId="50ADA6B8">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 xml:space="preserve"> </w:t>
      </w:r>
      <w:r>
        <w:rPr>
          <w:rFonts w:hint="eastAsia" w:ascii="宋体" w:hAnsi="宋体"/>
          <w:color w:val="auto"/>
          <w:sz w:val="24"/>
          <w:szCs w:val="24"/>
          <w:highlight w:val="none"/>
        </w:rPr>
        <w:t>根据《中华人民共和国政府采购法》、《中华人民共和国政府采购法实施条例》、《政府采购货物和服务招标投标管理办法》及相关政府采购法律法规等制定本文件。</w:t>
      </w:r>
    </w:p>
    <w:p w14:paraId="1A58AAC5">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1.2</w:t>
      </w:r>
      <w:r>
        <w:rPr>
          <w:rFonts w:hint="eastAsia" w:ascii="黑体" w:hAnsi="黑体" w:eastAsia="黑体" w:cs="楷体_GB2312"/>
          <w:b/>
          <w:color w:val="auto"/>
          <w:sz w:val="24"/>
          <w:highlight w:val="none"/>
          <w:lang w:val="zh-CN"/>
        </w:rPr>
        <w:t>招标文件的法律适用及法律效力</w:t>
      </w:r>
    </w:p>
    <w:p w14:paraId="6AD9C72E">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所述内容，仅适用于本次项目采购。</w:t>
      </w:r>
    </w:p>
    <w:p w14:paraId="2B8635EA">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的修改性文件、补充文件、澄清文件或说明具有同等法律效力。</w:t>
      </w:r>
    </w:p>
    <w:p w14:paraId="50F2E00A">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适用于并执行《政府采购法》和其它相关的法律、法规。</w:t>
      </w:r>
    </w:p>
    <w:p w14:paraId="021935AC">
      <w:pPr>
        <w:adjustRightInd w:val="0"/>
        <w:snapToGrid w:val="0"/>
        <w:spacing w:before="156"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的解释权属采购人及代理机构。</w:t>
      </w:r>
    </w:p>
    <w:p w14:paraId="75BB289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zh-CN"/>
        </w:rPr>
        <w:t xml:space="preserve"> 合格的投标人</w:t>
      </w:r>
    </w:p>
    <w:p w14:paraId="0433DB3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凡符合招标文件规定，承认本招标文件所有内容的投标人为合格的投标人。</w:t>
      </w:r>
    </w:p>
    <w:p w14:paraId="7961504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3E15712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为招标项目提供整体设计、规范编制或者项目管理、监理、检测等服务的供应商，不得再参加该招标项目的其他采购活动。</w:t>
      </w:r>
    </w:p>
    <w:p w14:paraId="2195093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投标人应遵守国家法律、法规和招标文件的规定。不得违背国家利益、社会公众利益。</w:t>
      </w:r>
    </w:p>
    <w:p w14:paraId="6AD63CA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4D0DB9D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投标人须知前附表规定接受联合体投标的，应遵守以下规定：</w:t>
      </w:r>
    </w:p>
    <w:p w14:paraId="2CEC929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30660BE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以联合体形式参加投标的</w:t>
      </w:r>
      <w:r>
        <w:rPr>
          <w:rFonts w:hint="eastAsia" w:ascii="宋体" w:cs="楷体_GB2312"/>
          <w:color w:val="auto"/>
          <w:sz w:val="24"/>
          <w:highlight w:val="none"/>
          <w:lang w:val="zh-CN"/>
        </w:rPr>
        <w:t>，将对所有的联合体成员进行信用记录查询，联合体成员存在不良信用记录的，视同联合体存在不良信用记录，为无效投标。</w:t>
      </w:r>
    </w:p>
    <w:p w14:paraId="2478D64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14:paraId="2DF148F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130A243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671D7FF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21B3EF6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）联合体中标的，联合体各方应当共同与采购人签订合同，就中标项目（标段&lt;包&gt;）向采购人承担连带责任。</w:t>
      </w:r>
    </w:p>
    <w:p w14:paraId="246DDA7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4C44FD7D">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3888B566">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75760617">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6C3F456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5AAF460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除非招标文件特别规定，采购人享有本项目实施过程中产生的知识成果及知识产权。</w:t>
      </w:r>
    </w:p>
    <w:p w14:paraId="446ACB8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14:paraId="4EBDF15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14:paraId="7536A09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7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636837D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参与公开招标活动的各方应对招标文件和投标文件中的商业和技术等秘密保密，投标人应在投标文件中对需保密事项予以书面声明，否则视为非保密事项。</w:t>
      </w:r>
    </w:p>
    <w:p w14:paraId="6423301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依据政府采购中标结果及合同公告规定，中标（合同）标的名称、规格型号、单价及中标（合同）金额等内容不得作为商业秘密。</w:t>
      </w:r>
    </w:p>
    <w:p w14:paraId="5A30503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8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2152878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14:paraId="0EEFB7E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1321388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549A18A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54EF158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14:paraId="5AC6434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14:paraId="6DB9F31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不组织踏勘现场的，招标文件不单独提供交付（实施）地自然环境、气候条件、交验安装条件等情况说明，投标人被视为熟悉前述与履行合同有关的一切情况，投标人可自行踏勘现场并自行了解相关情况。</w:t>
      </w:r>
    </w:p>
    <w:p w14:paraId="413ACFD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开标前答疑会</w:t>
      </w:r>
    </w:p>
    <w:p w14:paraId="694332B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采购人或者采购代理机构可以在招标文件提供期限截止后，组织已获取招标文件的潜在投标人召开开标前答疑会。</w:t>
      </w:r>
    </w:p>
    <w:p w14:paraId="70660ED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召开答疑会的，将在招标文件中载明，或者在招标文件提供期限截止后以书面形式通知所有获取招标文件的潜在投标人。</w:t>
      </w:r>
    </w:p>
    <w:p w14:paraId="1CACA93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14:paraId="2FF2DA7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答疑会后，采购人及代理机构在投标人须知前附表规定的时间内，将对投标人依法提出的重要问题的澄清，以本章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项方式通告潜在投标人。该澄清内容为招标文件的组成部分。</w:t>
      </w:r>
    </w:p>
    <w:p w14:paraId="0B92CFF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294909FF">
      <w:pPr>
        <w:autoSpaceDE w:val="0"/>
        <w:autoSpaceDN w:val="0"/>
        <w:adjustRightInd w:val="0"/>
        <w:snapToGrid w:val="0"/>
        <w:spacing w:before="156" w:beforeLines="50" w:line="300" w:lineRule="auto"/>
        <w:ind w:firstLine="539"/>
        <w:rPr>
          <w:rFonts w:ascii="宋体" w:hAnsi="宋体" w:cs="宋体"/>
          <w:color w:val="auto"/>
          <w:sz w:val="24"/>
          <w:highlight w:val="none"/>
        </w:rPr>
      </w:pPr>
      <w:r>
        <w:rPr>
          <w:rFonts w:hint="eastAsia" w:ascii="宋体" w:hAnsi="宋体" w:cs="楷体_GB2312"/>
          <w:color w:val="auto"/>
          <w:sz w:val="24"/>
          <w:highlight w:val="none"/>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highlight w:val="none"/>
        </w:rPr>
        <w:t>应当在投标文件中载明分包承担主体，分包承担主体应当具备相应资质条件且不得再次分包。</w:t>
      </w:r>
    </w:p>
    <w:p w14:paraId="378309F5">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08E65F9D">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0C8E782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7C0B3DF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招标文件允许投标文件偏离招标文件某些要求的，偏离应当符合招标文件规定的偏离范围和幅度。</w:t>
      </w:r>
    </w:p>
    <w:p w14:paraId="19A3559B">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14:paraId="6ED7EF1D">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1" w:name="_Toc186018365"/>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招标文件</w:t>
      </w:r>
      <w:bookmarkEnd w:id="31"/>
    </w:p>
    <w:p w14:paraId="53A5433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2.1 </w:t>
      </w:r>
      <w:r>
        <w:rPr>
          <w:rFonts w:hint="eastAsia" w:ascii="黑体" w:hAnsi="黑体" w:eastAsia="黑体" w:cs="楷体_GB2312"/>
          <w:b/>
          <w:color w:val="auto"/>
          <w:sz w:val="24"/>
          <w:highlight w:val="none"/>
          <w:lang w:val="zh-CN"/>
        </w:rPr>
        <w:t>招标文件的组成</w:t>
      </w:r>
      <w:r>
        <w:rPr>
          <w:rFonts w:hint="eastAsia" w:ascii="宋体" w:hAnsi="宋体" w:cs="楷体_GB2312"/>
          <w:color w:val="auto"/>
          <w:sz w:val="24"/>
          <w:highlight w:val="none"/>
          <w:lang w:val="zh-CN"/>
        </w:rPr>
        <w:t>：</w:t>
      </w:r>
    </w:p>
    <w:p w14:paraId="12D05B8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招标文件用以阐明招标项目的内容、程序和合同主要条款。招标文件由下述部分组成：</w:t>
      </w:r>
    </w:p>
    <w:p w14:paraId="56438970">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）招标公告</w:t>
      </w:r>
    </w:p>
    <w:p w14:paraId="58225F23">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）招标项目要求及采购需求</w:t>
      </w:r>
    </w:p>
    <w:p w14:paraId="0730DBC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009BCB31">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）评标办法</w:t>
      </w:r>
    </w:p>
    <w:p w14:paraId="39BF23DC">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1C22F8F6">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236222D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款、对招标文件的澄清、修改、补充书构成招标文件的组成部分，并取代招标文件中被澄清、修改处，对所有投标人均有约束力。</w:t>
      </w:r>
    </w:p>
    <w:p w14:paraId="2F314FE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当招标文件、招标文件的澄清、修改、补充等在同一内容的表述上不一致时，以最后发出（发布）的文件为准。</w:t>
      </w:r>
    </w:p>
    <w:p w14:paraId="4CAE4DF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投标人与任何人的口头协议不影响《招标文件》的任何条款和内容。</w:t>
      </w:r>
    </w:p>
    <w:p w14:paraId="0D65A5A9">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投标人应仔细阅读和检查招标文件的全部内容是否齐全，如发现缺页或附件不全等遗漏，应及时向采购代理机构提出并索取补齐，否则责任及风险自负。</w:t>
      </w:r>
    </w:p>
    <w:p w14:paraId="496B724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招标文件的澄清</w:t>
      </w:r>
    </w:p>
    <w:p w14:paraId="3F5B7C6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14:paraId="421BD73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采购代理机构对潜在投标人在规定的时间内提出的疑问，将按投标人须知前附表规定予以答复。</w:t>
      </w:r>
    </w:p>
    <w:p w14:paraId="591D103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14:paraId="39AF93FC">
      <w:pPr>
        <w:adjustRightInd w:val="0"/>
        <w:snapToGrid w:val="0"/>
        <w:spacing w:before="156" w:beforeLines="50" w:line="300" w:lineRule="auto"/>
        <w:ind w:firstLine="480" w:firstLineChars="200"/>
        <w:jc w:val="left"/>
        <w:rPr>
          <w:rFonts w:asci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11E8CCC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招标文件的澄清、修改、补充</w:t>
      </w:r>
    </w:p>
    <w:p w14:paraId="5A844D41">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hint="eastAsia" w:ascii="宋体" w:hAnsi="宋体" w:cs="楷体_GB2312"/>
          <w:color w:val="auto"/>
          <w:sz w:val="24"/>
          <w:highlight w:val="none"/>
          <w:lang w:val="zh-CN"/>
        </w:rPr>
        <w:t>采购人、代理机构在投标截止时间前有权澄清修改、补充已发售的招标文件。</w:t>
      </w:r>
    </w:p>
    <w:p w14:paraId="4438A85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招标文件的澄清、修改、补充的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6653BA3F">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招标文件在投标截止时间前的所有澄清、修改（包括时间变更等）、补充事项，均在“招标公告”所述媒体予以公告。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75B3AE9E">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无权限获知或通知潜在投标人，潜在投标人应随时关注“招标公告”所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相关项目信息（为免各部门网站出现维护等情况，潜在投标人应对“招标公告”所述媒体逐一查阅），如有遗漏，后果自负。</w:t>
      </w:r>
    </w:p>
    <w:p w14:paraId="23432B7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.2招标文件的澄清、修改、补充书构成招标文件的组成部分，并取代招标文件中被澄清、修改处，对所有投标人均有约束力。</w:t>
      </w:r>
    </w:p>
    <w:p w14:paraId="0AFF611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14:paraId="27FF0AE4">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rPr>
      </w:pPr>
    </w:p>
    <w:p w14:paraId="20B23BD2">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2" w:name="_Toc186018366"/>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w:t>
      </w:r>
      <w:bookmarkEnd w:id="32"/>
    </w:p>
    <w:p w14:paraId="57C600A9">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highlight w:val="none"/>
          <w:lang w:val="zh-CN"/>
        </w:rPr>
        <w:t>无效投标。</w:t>
      </w:r>
    </w:p>
    <w:p w14:paraId="5754594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投标文件的组成</w:t>
      </w:r>
    </w:p>
    <w:p w14:paraId="5F52BFD2">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14:paraId="1CC3178F">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zh-CN"/>
        </w:rPr>
        <w:t>投标文件应包括下列内容：</w:t>
      </w:r>
    </w:p>
    <w:p w14:paraId="54C9479F">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32C383E6">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05968C39">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402A8106">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14:paraId="153CE443">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2498F648">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573046F6">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06B77F90">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5FD37C93">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596EBADD">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14:paraId="75FDD5F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14:paraId="1FC46EDA">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14:paraId="4BA26459">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14:paraId="0BAE856E">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3AAB4C0F">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750CB6DA">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471D7931">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14:paraId="3EF8B136">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3款规定，对投标文件的补充、修改、澄清、说明或者更正构成投标文件的组成部分，并取代投标文件中被澄清、修改处。</w:t>
      </w:r>
    </w:p>
    <w:p w14:paraId="25F33E18">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3C87E57D">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34A87A0E">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14:paraId="09FC2EBD">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在投标有效期内，投标人撤销或修改其投标文件的，依据招标文件“第三章3.5.5 违背承诺的责任追究措施”，投标人承担相应法律责任及违约责任。</w:t>
      </w:r>
    </w:p>
    <w:p w14:paraId="1DA67B17">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23C52F5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3EF4534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14:paraId="6C808AA9">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14:paraId="61DBF21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3D9D00D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14:paraId="4D5E6AAB">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按照招标文件规定，在提交投标文件截止时间后，在招标文件规定的投标有效期限内不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14:paraId="04A5BA05">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14:paraId="718E2BC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招标</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遵守法律法规及招标文件规定的其他情况；</w:t>
      </w:r>
    </w:p>
    <w:p w14:paraId="1E35823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3.5.4.7、投标人应按招标文件规定及时缴纳中标服务费。</w:t>
      </w:r>
    </w:p>
    <w:p w14:paraId="3CDF01E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43DAABC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14:paraId="3C445A25">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4425B397">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6754A01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6449278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510BD67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77751EF2">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33C2650E">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要求见招标公告</w:t>
      </w:r>
    </w:p>
    <w:p w14:paraId="4A50C5A5">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007C96D9">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投标文件应按第六章“投标文件格式”进行编写，如有必要，可以增加附页，作为投标文件的组成部分。招标文件中未列明格式的，由投标人按一般通用格式自行设计编写。</w:t>
      </w:r>
    </w:p>
    <w:p w14:paraId="517250A6">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殷都区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殷都区公共资源交易平台将拒绝接收。</w:t>
      </w:r>
    </w:p>
    <w:p w14:paraId="78917189">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w:t>
      </w:r>
    </w:p>
    <w:p w14:paraId="7C62E61D">
      <w:pPr>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14:paraId="696B40CE">
      <w:pPr>
        <w:adjustRightInd w:val="0"/>
        <w:snapToGrid w:val="0"/>
        <w:spacing w:before="156" w:beforeLines="50" w:line="300" w:lineRule="auto"/>
        <w:ind w:firstLine="482" w:firstLineChars="200"/>
        <w:rPr>
          <w:rFonts w:asciiTheme="minorEastAsia" w:hAnsiTheme="minorEastAsia" w:eastAsiaTheme="minorEastAsia"/>
          <w:b/>
          <w:color w:val="auto"/>
          <w:sz w:val="24"/>
          <w:szCs w:val="24"/>
          <w:highlight w:val="none"/>
        </w:rPr>
      </w:pPr>
      <w:r>
        <w:rPr>
          <w:rFonts w:hint="eastAsia" w:cs="楷体_GB2312" w:asciiTheme="minorEastAsia" w:hAnsiTheme="minorEastAsia" w:eastAsiaTheme="minorEastAsia"/>
          <w:b/>
          <w:color w:val="auto"/>
          <w:sz w:val="24"/>
          <w:highlight w:val="none"/>
          <w:lang w:val="zh-CN"/>
        </w:rPr>
        <w:t>技术要求的偏离按第二章“</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7技术偏离”执行；其他条款如未标明为非实质性要求的，均为实质性要求，不接受负偏离。</w:t>
      </w:r>
    </w:p>
    <w:p w14:paraId="28D15192">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的所有条款与招标文件要求有任何不同之处，应按《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。投标人应认真编制投标文件并自负此项风险。</w:t>
      </w:r>
    </w:p>
    <w:p w14:paraId="58FD3607">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按招标文件相关要求（含格式上标注的要求）、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签名（签章）并加密的投标文件，属于未按照招标文件要求进行签署。</w:t>
      </w:r>
    </w:p>
    <w:p w14:paraId="5D92B0EE">
      <w:pPr>
        <w:adjustRightInd w:val="0"/>
        <w:snapToGrid w:val="0"/>
        <w:spacing w:before="156" w:beforeLines="50" w:line="300" w:lineRule="auto"/>
        <w:ind w:firstLine="482" w:firstLineChars="200"/>
        <w:rPr>
          <w:rFonts w:ascii="宋体" w:hAnsi="宋体" w:cs="楷体_GB2312"/>
          <w:color w:val="auto"/>
          <w:sz w:val="24"/>
          <w:highlight w:val="none"/>
          <w:lang w:val="zh-CN"/>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根据《中华人民共和国电子签名法》规定，可靠的电子签名与手写签名或者盖章具有同等的法律效力。本次采购活动中，供应商使用有效的企业数字证书对投标文件进行电子签章与加盖投标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章具有同等法律效力；供应商法定代表人使用有效的个人数字证书对投标文件进行签名（签章）与法人签章具有同等法律效力。</w:t>
      </w:r>
    </w:p>
    <w:p w14:paraId="32BFE53A">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hint="eastAsia" w:ascii="宋体" w:hAnsi="宋体" w:cs="楷体_GB2312"/>
          <w:color w:val="auto"/>
          <w:sz w:val="24"/>
          <w:highlight w:val="none"/>
          <w:lang w:val="zh-CN"/>
        </w:rPr>
        <w:t>5投标人可对本招标文件中所列的所有标段（包）进行分别投标，也可选择其中一个标段（包）或几个标段（包）投标，但不得将招标文件规定的同一标段（包）的内容拆开投标，否则将按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color w:val="auto"/>
          <w:sz w:val="24"/>
          <w:highlight w:val="none"/>
          <w:lang w:val="zh-CN"/>
        </w:rPr>
        <w:t>无效投标处理</w:t>
      </w:r>
      <w:r>
        <w:rPr>
          <w:rFonts w:hint="eastAsia" w:ascii="宋体" w:hAnsi="宋体" w:cs="楷体_GB2312"/>
          <w:color w:val="auto"/>
          <w:sz w:val="24"/>
          <w:highlight w:val="none"/>
          <w:lang w:val="zh-CN"/>
        </w:rPr>
        <w:t>。</w:t>
      </w:r>
    </w:p>
    <w:p w14:paraId="3F69F34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投标文件因字迹或表述不清所引起的后果由投标人自行负责。</w:t>
      </w:r>
    </w:p>
    <w:p w14:paraId="0EA8055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未按上述要求提供的投标文件将视为</w:t>
      </w:r>
      <w:r>
        <w:rPr>
          <w:rFonts w:hint="eastAsia" w:ascii="宋体" w:hAnsi="宋体" w:cs="楷体_GB2312"/>
          <w:b/>
          <w:color w:val="auto"/>
          <w:sz w:val="24"/>
          <w:highlight w:val="none"/>
          <w:lang w:val="zh-CN"/>
        </w:rPr>
        <w:t>无效投标。</w:t>
      </w:r>
    </w:p>
    <w:p w14:paraId="048831F7">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0F39FE0A">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3" w:name="_Toc186018367"/>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w:t>
      </w:r>
      <w:bookmarkEnd w:id="33"/>
    </w:p>
    <w:p w14:paraId="351CAE2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投标文件的密封和标记：</w:t>
      </w:r>
    </w:p>
    <w:p w14:paraId="5844199F">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4"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传至招标公告所述网上电子交易系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3053BEEE">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5"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35"/>
    </w:p>
    <w:bookmarkEnd w:id="34"/>
    <w:p w14:paraId="5D668FC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p>
    <w:p w14:paraId="401EBB9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4.2.1 </w:t>
      </w:r>
      <w:r>
        <w:rPr>
          <w:rFonts w:hint="eastAsia" w:ascii="宋体" w:hAnsi="宋体"/>
          <w:color w:val="auto"/>
          <w:sz w:val="24"/>
          <w:szCs w:val="24"/>
          <w:highlight w:val="none"/>
        </w:rPr>
        <w:t>投标人应在投标截止时间前上传加密的电子投标文件（*.aytf）到殷都区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殷都区公共资源交易平台将拒绝接收。</w:t>
      </w:r>
    </w:p>
    <w:p w14:paraId="29577D5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投标文件提交截止时间后，系统将自动锁定已经提交的电子投标文件，拒绝再次提交。投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w:t>
      </w:r>
    </w:p>
    <w:p w14:paraId="2E54D2F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由于不可抗拒的原因，代理机构对投标文件的遗失和损坏不负任何责任。</w:t>
      </w:r>
    </w:p>
    <w:p w14:paraId="70AAFA1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除投标人须知前附表另有规定外，投标人所递交的投标文件不予退还。</w:t>
      </w:r>
    </w:p>
    <w:p w14:paraId="35A5FABD">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1929985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投标文件的修改与撤回</w:t>
      </w:r>
      <w:r>
        <w:rPr>
          <w:rFonts w:hint="eastAsia" w:ascii="宋体" w:hAnsi="宋体" w:cs="楷体_GB2312"/>
          <w:color w:val="auto"/>
          <w:sz w:val="24"/>
          <w:highlight w:val="none"/>
          <w:lang w:val="zh-CN"/>
        </w:rPr>
        <w:t>：</w:t>
      </w:r>
    </w:p>
    <w:p w14:paraId="08E0D039">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投标人于提交投标文件截止时间前如对投标文件进行补充、修改，可以上传新的投标文件进行覆盖。投标人如撤回投标文件，应及时书面通知采购代理机构进行办理。</w:t>
      </w:r>
    </w:p>
    <w:p w14:paraId="24EBC3B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截止时间后不得自行修改或撤回其投标，否则依据招标文件“第三章3.5.5 违背承诺的责任追究措施”，投标人承担相应法律责任及违约责任。</w:t>
      </w:r>
    </w:p>
    <w:p w14:paraId="2FD57FFE">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527EA81C">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6" w:name="_Toc186018368"/>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w:t>
      </w:r>
      <w:bookmarkEnd w:id="36"/>
    </w:p>
    <w:p w14:paraId="3A69304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0E575180">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采购人和采购代理机构按招标公告规定的时间和地点于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（招标公告所述网上电子交易系统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3F4FB313">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 xml:space="preserve"> 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7178B73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0BB24745">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1776461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34A6D2AA">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55D74FC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投标人不足</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家的，将不予开标。</w:t>
      </w:r>
    </w:p>
    <w:p w14:paraId="16A67770">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4A5641B0">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7" w:name="_Toc186018369"/>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资格性审查</w:t>
      </w:r>
      <w:bookmarkEnd w:id="37"/>
    </w:p>
    <w:p w14:paraId="71376AC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资格性审查环节</w:t>
      </w:r>
    </w:p>
    <w:p w14:paraId="505BC42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公开招标采购项目开标结束后，采购人或者采购代理机构将依法对投标人的资格进行审查。</w:t>
      </w:r>
    </w:p>
    <w:p w14:paraId="208A1F6A">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资格性审查内容</w:t>
      </w:r>
    </w:p>
    <w:p w14:paraId="17C7736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）按照第一章“招标公告”第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条各项资格要求规定，审查投标人是否符合第一章“招标公告”第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条各项资格要求及所需证件材料、证明材料要求，不符合的、投标无效。</w:t>
      </w:r>
    </w:p>
    <w:p w14:paraId="4A1B1F2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）投标</w:t>
      </w:r>
      <w:r>
        <w:rPr>
          <w:rFonts w:hint="eastAsia" w:ascii="宋体" w:cs="楷体_GB2312"/>
          <w:color w:val="auto"/>
          <w:sz w:val="24"/>
          <w:highlight w:val="none"/>
        </w:rPr>
        <w:t>承诺函（替代投标</w:t>
      </w:r>
      <w:r>
        <w:rPr>
          <w:rFonts w:hint="eastAsia" w:ascii="宋体" w:cs="楷体_GB2312"/>
          <w:color w:val="auto"/>
          <w:sz w:val="24"/>
          <w:highlight w:val="none"/>
          <w:lang w:val="zh-CN"/>
        </w:rPr>
        <w:t>保证金</w:t>
      </w:r>
      <w:r>
        <w:rPr>
          <w:rFonts w:hint="eastAsia" w:ascii="宋体" w:cs="楷体_GB2312"/>
          <w:color w:val="auto"/>
          <w:sz w:val="24"/>
          <w:highlight w:val="none"/>
        </w:rPr>
        <w:t>）</w:t>
      </w:r>
      <w:r>
        <w:rPr>
          <w:rFonts w:hint="eastAsia" w:ascii="宋体" w:cs="楷体_GB2312"/>
          <w:color w:val="auto"/>
          <w:sz w:val="24"/>
          <w:highlight w:val="none"/>
          <w:lang w:val="zh-CN"/>
        </w:rPr>
        <w:t>。按照招标文件第三章“投标人须知”</w:t>
      </w:r>
      <w:r>
        <w:rPr>
          <w:rFonts w:ascii="宋体" w:cs="楷体_GB2312"/>
          <w:color w:val="auto"/>
          <w:sz w:val="24"/>
          <w:highlight w:val="none"/>
          <w:lang w:val="zh-CN"/>
        </w:rPr>
        <w:t>3.5</w:t>
      </w:r>
      <w:r>
        <w:rPr>
          <w:rFonts w:hint="eastAsia" w:ascii="宋体" w:cs="楷体_GB2312"/>
          <w:color w:val="auto"/>
          <w:sz w:val="24"/>
          <w:highlight w:val="none"/>
          <w:lang w:val="zh-CN"/>
        </w:rPr>
        <w:t>款规定审查，不符合的、投标无效。</w:t>
      </w:r>
    </w:p>
    <w:p w14:paraId="6886A3C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3</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招标公告、资格预审公告或者投标邀请书中载明</w:t>
      </w:r>
      <w:r>
        <w:rPr>
          <w:rFonts w:hint="eastAsia" w:ascii="宋体" w:cs="楷体_GB2312"/>
          <w:color w:val="auto"/>
          <w:sz w:val="24"/>
          <w:highlight w:val="none"/>
          <w:lang w:val="zh-CN"/>
        </w:rPr>
        <w:t>接受联合体投标的，按照招标文件第三章“</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款</w:t>
      </w:r>
      <w:r>
        <w:rPr>
          <w:rFonts w:hint="eastAsia" w:ascii="宋体" w:cs="楷体_GB2312"/>
          <w:color w:val="auto"/>
          <w:sz w:val="24"/>
          <w:highlight w:val="none"/>
          <w:lang w:val="zh-CN"/>
        </w:rPr>
        <w:t>规定进行审查，不符合的、投标无效。</w:t>
      </w:r>
    </w:p>
    <w:p w14:paraId="180645D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资格性审查结果</w:t>
      </w:r>
    </w:p>
    <w:p w14:paraId="6D9343A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6.3.1 </w:t>
      </w:r>
      <w:r>
        <w:rPr>
          <w:rFonts w:hint="eastAsia" w:ascii="宋体" w:cs="楷体_GB2312"/>
          <w:color w:val="auto"/>
          <w:sz w:val="24"/>
          <w:highlight w:val="none"/>
          <w:lang w:val="zh-CN"/>
        </w:rPr>
        <w:t>对未通过资格审查的投标人，将告知其未通过的原因。</w:t>
      </w:r>
    </w:p>
    <w:p w14:paraId="5638548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6.3.2 </w:t>
      </w:r>
      <w:r>
        <w:rPr>
          <w:rFonts w:hint="eastAsia" w:ascii="宋体" w:cs="楷体_GB2312"/>
          <w:color w:val="auto"/>
          <w:sz w:val="24"/>
          <w:highlight w:val="none"/>
          <w:lang w:val="zh-CN"/>
        </w:rPr>
        <w:t>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5463766B">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6AD01B8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评审</w:t>
      </w:r>
    </w:p>
    <w:p w14:paraId="3DB9D61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评标委员会</w:t>
      </w:r>
    </w:p>
    <w:p w14:paraId="74ACFAC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评标工作由依法组建的评标委员会负责。评标委员会由采购人代表（</w:t>
      </w:r>
      <w:r>
        <w:rPr>
          <w:rFonts w:hint="eastAsia" w:ascii="宋体" w:cs="楷体_GB2312"/>
          <w:color w:val="auto"/>
          <w:sz w:val="24"/>
          <w:highlight w:val="none"/>
          <w:lang w:val="en-US" w:eastAsia="zh-CN"/>
        </w:rPr>
        <w:t>1名）</w:t>
      </w:r>
      <w:r>
        <w:rPr>
          <w:rFonts w:hint="eastAsia" w:ascii="宋体" w:cs="楷体_GB2312"/>
          <w:color w:val="auto"/>
          <w:sz w:val="24"/>
          <w:highlight w:val="none"/>
          <w:lang w:val="zh-CN"/>
        </w:rPr>
        <w:t>和评审专家（</w:t>
      </w:r>
      <w:r>
        <w:rPr>
          <w:rFonts w:hint="eastAsia" w:ascii="宋体" w:cs="楷体_GB2312"/>
          <w:color w:val="auto"/>
          <w:sz w:val="24"/>
          <w:highlight w:val="none"/>
          <w:lang w:val="en-US" w:eastAsia="zh-CN"/>
        </w:rPr>
        <w:t>4名</w:t>
      </w:r>
      <w:r>
        <w:rPr>
          <w:rFonts w:hint="eastAsia" w:ascii="宋体" w:cs="楷体_GB2312"/>
          <w:color w:val="auto"/>
          <w:sz w:val="24"/>
          <w:highlight w:val="none"/>
          <w:lang w:val="zh-CN"/>
        </w:rPr>
        <w:t>）共</w:t>
      </w:r>
      <w:r>
        <w:rPr>
          <w:rFonts w:ascii="宋体" w:cs="楷体_GB2312"/>
          <w:color w:val="auto"/>
          <w:sz w:val="24"/>
          <w:highlight w:val="none"/>
          <w:lang w:val="zh-CN"/>
        </w:rPr>
        <w:t>5</w:t>
      </w:r>
      <w:r>
        <w:rPr>
          <w:rFonts w:hint="eastAsia" w:ascii="宋体" w:cs="楷体_GB2312"/>
          <w:color w:val="auto"/>
          <w:sz w:val="24"/>
          <w:highlight w:val="none"/>
          <w:lang w:val="zh-CN"/>
        </w:rPr>
        <w:t>人组成，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14:paraId="26CEAE56">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300DCAC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评审原则</w:t>
      </w:r>
    </w:p>
    <w:p w14:paraId="0F44EB9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7.2.1 </w:t>
      </w:r>
      <w:r>
        <w:rPr>
          <w:rFonts w:hint="eastAsia" w:ascii="宋体" w:hAnsi="宋体" w:cs="楷体_GB2312"/>
          <w:color w:val="auto"/>
          <w:sz w:val="24"/>
          <w:highlight w:val="none"/>
          <w:lang w:val="zh-CN"/>
        </w:rPr>
        <w:t>坚持公开、公平、公正地对待所有投标人。</w:t>
      </w:r>
    </w:p>
    <w:p w14:paraId="5278DDD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7.2.2 </w:t>
      </w:r>
      <w:r>
        <w:rPr>
          <w:rFonts w:hint="eastAsia" w:ascii="宋体" w:hAnsi="宋体" w:cs="楷体_GB2312"/>
          <w:color w:val="auto"/>
          <w:sz w:val="24"/>
          <w:highlight w:val="none"/>
          <w:lang w:val="zh-CN"/>
        </w:rPr>
        <w:t>按照同一评审程序及方法审查所有投标人的投标文件。</w:t>
      </w:r>
    </w:p>
    <w:p w14:paraId="2DF127F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7.2.3 </w:t>
      </w:r>
      <w:r>
        <w:rPr>
          <w:rFonts w:hint="eastAsia" w:ascii="宋体" w:hAnsi="宋体" w:cs="楷体_GB2312"/>
          <w:color w:val="auto"/>
          <w:sz w:val="24"/>
          <w:highlight w:val="none"/>
          <w:lang w:val="zh-CN"/>
        </w:rPr>
        <w:t>反对不正当竞争</w:t>
      </w:r>
    </w:p>
    <w:p w14:paraId="4B45734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评审</w:t>
      </w:r>
    </w:p>
    <w:p w14:paraId="3084450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7.3.1</w:t>
      </w:r>
      <w:r>
        <w:rPr>
          <w:rFonts w:hint="eastAsia" w:ascii="宋体" w:hAnsi="宋体" w:cs="楷体_GB2312"/>
          <w:color w:val="auto"/>
          <w:sz w:val="24"/>
          <w:highlight w:val="none"/>
          <w:lang w:val="zh-CN"/>
        </w:rPr>
        <w:t>评审工作在评标委员会内独立进行。评标委员会按照第四章“评标办法”规定的方法、评标因素、标准和程序对投标文件进行评审。第四章“评标办法”没有规定的方法、评标因素和标准，不作为评审依据。</w:t>
      </w:r>
    </w:p>
    <w:p w14:paraId="39CE28ED">
      <w:pPr>
        <w:adjustRightInd w:val="0"/>
        <w:snapToGrid w:val="0"/>
        <w:spacing w:line="300" w:lineRule="auto"/>
        <w:ind w:firstLine="480" w:firstLineChars="200"/>
        <w:jc w:val="left"/>
        <w:rPr>
          <w:rFonts w:ascii="宋体" w:cs="楷体_GB2312"/>
          <w:color w:val="auto"/>
          <w:sz w:val="24"/>
          <w:highlight w:val="none"/>
          <w:lang w:val="zh-CN"/>
        </w:rPr>
      </w:pPr>
      <w:r>
        <w:rPr>
          <w:rFonts w:ascii="宋体" w:hAnsi="宋体" w:cs="宋体"/>
          <w:color w:val="auto"/>
          <w:sz w:val="24"/>
          <w:highlight w:val="none"/>
        </w:rPr>
        <w:t xml:space="preserve">7.3.2 </w:t>
      </w:r>
      <w:r>
        <w:rPr>
          <w:rFonts w:hint="eastAsia" w:ascii="宋体" w:hAnsi="宋体" w:cs="宋体"/>
          <w:color w:val="auto"/>
          <w:sz w:val="24"/>
          <w:highlight w:val="none"/>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14:paraId="68D6A2C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7.3.3 </w:t>
      </w:r>
      <w:r>
        <w:rPr>
          <w:rFonts w:hint="eastAsia" w:ascii="宋体" w:hAnsi="宋体" w:cs="楷体_GB2312"/>
          <w:color w:val="auto"/>
          <w:sz w:val="24"/>
          <w:highlight w:val="none"/>
          <w:lang w:val="zh-CN"/>
        </w:rPr>
        <w:t>在开标、评审期间，投标人不得向评标委员会成员询问情况，不得进行旨在影响评审结果的活动。</w:t>
      </w:r>
    </w:p>
    <w:p w14:paraId="67B260BE">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69DA3ECE">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8" w:name="_Toc186018370"/>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授予合同</w:t>
      </w:r>
      <w:bookmarkEnd w:id="38"/>
    </w:p>
    <w:p w14:paraId="62F7AED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8.1 </w:t>
      </w:r>
      <w:r>
        <w:rPr>
          <w:rFonts w:hint="eastAsia" w:ascii="黑体" w:hAnsi="黑体" w:eastAsia="黑体" w:cs="楷体_GB2312"/>
          <w:b/>
          <w:color w:val="auto"/>
          <w:sz w:val="24"/>
          <w:highlight w:val="none"/>
          <w:lang w:val="zh-CN"/>
        </w:rPr>
        <w:t>确定中标人方式</w:t>
      </w:r>
    </w:p>
    <w:p w14:paraId="6EF00953">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除投标人须知前附表规定授权评标委员会直接确定中标人外，采购人应当自收到评标报告之日起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14:paraId="1EAF2CD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8.2 </w:t>
      </w:r>
      <w:r>
        <w:rPr>
          <w:rFonts w:hint="eastAsia" w:ascii="黑体" w:hAnsi="黑体" w:eastAsia="黑体" w:cs="楷体_GB2312"/>
          <w:b/>
          <w:color w:val="auto"/>
          <w:sz w:val="24"/>
          <w:highlight w:val="none"/>
          <w:lang w:val="zh-CN"/>
        </w:rPr>
        <w:t>中标结果公告</w:t>
      </w:r>
    </w:p>
    <w:p w14:paraId="6CB8065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采购代理机构在中标人确定当天即时在招标公告所述媒体公告中标结果。同时向中标人发出中标通知书。中标结果公告期限为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18009179">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8.3 </w:t>
      </w:r>
      <w:r>
        <w:rPr>
          <w:rFonts w:hint="eastAsia" w:ascii="黑体" w:hAnsi="黑体" w:eastAsia="黑体" w:cs="楷体_GB2312"/>
          <w:b/>
          <w:color w:val="auto"/>
          <w:sz w:val="24"/>
          <w:highlight w:val="none"/>
          <w:lang w:val="zh-CN"/>
        </w:rPr>
        <w:t>质疑、投诉：</w:t>
      </w:r>
    </w:p>
    <w:p w14:paraId="00EED66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olor w:val="auto"/>
          <w:sz w:val="24"/>
          <w:highlight w:val="none"/>
        </w:rPr>
        <w:t>8.3.1</w:t>
      </w:r>
      <w:r>
        <w:rPr>
          <w:rFonts w:ascii="黑体" w:hAnsi="黑体" w:eastAsia="黑体" w:cs="楷体_GB2312"/>
          <w:b/>
          <w:color w:val="auto"/>
          <w:sz w:val="24"/>
          <w:highlight w:val="none"/>
          <w:lang w:val="zh-CN"/>
        </w:rPr>
        <w:t xml:space="preserve"> </w:t>
      </w:r>
      <w:r>
        <w:rPr>
          <w:rFonts w:hint="eastAsia" w:ascii="宋体" w:hAnsi="宋体" w:cs="楷体_GB2312"/>
          <w:color w:val="auto"/>
          <w:sz w:val="24"/>
          <w:highlight w:val="none"/>
          <w:lang w:val="zh-CN"/>
        </w:rPr>
        <w:t>见投标人须知前附表</w:t>
      </w:r>
    </w:p>
    <w:p w14:paraId="730EF12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8.3.2 </w:t>
      </w:r>
      <w:r>
        <w:rPr>
          <w:rFonts w:hint="eastAsia" w:ascii="宋体" w:hAnsi="宋体" w:cs="楷体_GB2312"/>
          <w:color w:val="auto"/>
          <w:sz w:val="24"/>
          <w:highlight w:val="none"/>
          <w:lang w:val="zh-CN"/>
        </w:rPr>
        <w:t>依据政府采购法规规定，招标公告、资格预审公告的公告期限为</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个工作日，中标公告期限为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个工作日，投标人应在法定期限内提出质疑，逾期提交或未按照要求提交的质疑函将不予受理。</w:t>
      </w:r>
    </w:p>
    <w:p w14:paraId="0E5A5DC8">
      <w:pPr>
        <w:adjustRightInd w:val="0"/>
        <w:snapToGrid w:val="0"/>
        <w:spacing w:before="156" w:beforeLines="50" w:line="300" w:lineRule="auto"/>
        <w:ind w:firstLine="600" w:firstLineChars="250"/>
        <w:rPr>
          <w:rFonts w:ascii="宋体"/>
          <w:color w:val="auto"/>
          <w:sz w:val="24"/>
          <w:highlight w:val="none"/>
        </w:rPr>
      </w:pPr>
      <w:r>
        <w:rPr>
          <w:rFonts w:ascii="宋体" w:hAnsi="宋体"/>
          <w:color w:val="auto"/>
          <w:sz w:val="24"/>
          <w:highlight w:val="none"/>
        </w:rPr>
        <w:t xml:space="preserve">8.3.3 </w:t>
      </w:r>
      <w:r>
        <w:rPr>
          <w:rFonts w:hint="eastAsia" w:ascii="宋体" w:hAnsi="宋体"/>
          <w:color w:val="auto"/>
          <w:sz w:val="24"/>
          <w:highlight w:val="none"/>
        </w:rPr>
        <w:t>询问或者质疑事项可能影响中标结果的，采购人应当暂停签订合同，已经签订合同的，应当中止履行合同。</w:t>
      </w:r>
    </w:p>
    <w:p w14:paraId="18D1C0D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8.4 </w:t>
      </w:r>
      <w:r>
        <w:rPr>
          <w:rFonts w:hint="eastAsia" w:ascii="黑体" w:hAnsi="黑体" w:eastAsia="黑体" w:cs="楷体_GB2312"/>
          <w:b/>
          <w:color w:val="auto"/>
          <w:sz w:val="24"/>
          <w:highlight w:val="none"/>
          <w:lang w:val="zh-CN"/>
        </w:rPr>
        <w:t>中标通知：</w:t>
      </w:r>
      <w:r>
        <w:rPr>
          <w:rFonts w:hint="eastAsia" w:ascii="宋体" w:hAnsi="宋体" w:cs="楷体_GB2312"/>
          <w:color w:val="auto"/>
          <w:sz w:val="24"/>
          <w:highlight w:val="none"/>
          <w:lang w:val="zh-CN"/>
        </w:rPr>
        <w:t>见投标人须知前附表</w:t>
      </w:r>
    </w:p>
    <w:p w14:paraId="442B5B1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8.5 </w:t>
      </w:r>
      <w:r>
        <w:rPr>
          <w:rFonts w:hint="eastAsia" w:ascii="黑体" w:hAnsi="黑体" w:eastAsia="黑体" w:cs="楷体_GB2312"/>
          <w:b/>
          <w:color w:val="auto"/>
          <w:sz w:val="24"/>
          <w:highlight w:val="none"/>
          <w:lang w:val="zh-CN"/>
        </w:rPr>
        <w:t>履约保证金</w:t>
      </w:r>
    </w:p>
    <w:p w14:paraId="3B7D4A1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8.5.1</w:t>
      </w:r>
      <w:r>
        <w:rPr>
          <w:rFonts w:hint="eastAsia" w:ascii="宋体" w:hAnsi="宋体" w:cs="楷体_GB2312"/>
          <w:color w:val="auto"/>
          <w:sz w:val="24"/>
          <w:highlight w:val="none"/>
          <w:lang w:val="zh-CN"/>
        </w:rPr>
        <w:t>在签订合同时，中标人应按投标人须知前附表规定向采购人提交履约保证金。</w:t>
      </w:r>
    </w:p>
    <w:p w14:paraId="6BEAC69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8.5.2 </w:t>
      </w:r>
      <w:r>
        <w:rPr>
          <w:rFonts w:hint="eastAsia" w:ascii="宋体" w:hAnsi="宋体" w:cs="楷体_GB2312"/>
          <w:color w:val="auto"/>
          <w:sz w:val="24"/>
          <w:highlight w:val="none"/>
          <w:lang w:val="zh-CN"/>
        </w:rPr>
        <w:t>中标人不能按本章第8</w:t>
      </w:r>
      <w:r>
        <w:rPr>
          <w:rFonts w:ascii="宋体" w:hAnsi="宋体" w:cs="楷体_GB2312"/>
          <w:color w:val="auto"/>
          <w:sz w:val="24"/>
          <w:highlight w:val="none"/>
          <w:lang w:val="zh-CN"/>
        </w:rPr>
        <w:t>.5.1</w:t>
      </w:r>
      <w:r>
        <w:rPr>
          <w:rFonts w:hint="eastAsia" w:ascii="宋体" w:hAnsi="宋体" w:cs="楷体_GB2312"/>
          <w:color w:val="auto"/>
          <w:sz w:val="24"/>
          <w:highlight w:val="none"/>
          <w:lang w:val="zh-CN"/>
        </w:rPr>
        <w:t>项要求提交履约保证金的，视为放弃中标资格，</w:t>
      </w:r>
      <w:r>
        <w:rPr>
          <w:rFonts w:hint="eastAsia" w:ascii="宋体" w:hAnsi="宋体"/>
          <w:color w:val="auto"/>
          <w:sz w:val="24"/>
          <w:szCs w:val="24"/>
          <w:highlight w:val="none"/>
        </w:rPr>
        <w:t>依据招标文件“第三章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给采购人及采购代理机构造成的损失，中标人应当予以赔偿。</w:t>
      </w:r>
    </w:p>
    <w:p w14:paraId="62396F3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8.6 </w:t>
      </w:r>
      <w:r>
        <w:rPr>
          <w:rFonts w:hint="eastAsia" w:ascii="黑体" w:hAnsi="黑体" w:eastAsia="黑体" w:cs="楷体_GB2312"/>
          <w:b/>
          <w:color w:val="auto"/>
          <w:sz w:val="24"/>
          <w:highlight w:val="none"/>
          <w:lang w:val="zh-CN"/>
        </w:rPr>
        <w:t>签订合同</w:t>
      </w:r>
    </w:p>
    <w:p w14:paraId="34E3599A">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8.6.1 </w:t>
      </w:r>
      <w:r>
        <w:rPr>
          <w:rFonts w:hint="eastAsia" w:ascii="宋体" w:hAnsi="宋体"/>
          <w:color w:val="auto"/>
          <w:sz w:val="24"/>
          <w:highlight w:val="none"/>
        </w:rPr>
        <w:t>据优化营商环境精神，中标人应在《中标通知书》发出后1个工作日内，按照招标文件确定的合同文本以及中标标的、技术和服务等事项与采购人签订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327D7BA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olor w:val="auto"/>
          <w:sz w:val="24"/>
          <w:highlight w:val="none"/>
        </w:rPr>
        <w:t xml:space="preserve">8.6.2 </w:t>
      </w:r>
      <w:r>
        <w:rPr>
          <w:rFonts w:hint="eastAsia" w:ascii="宋体" w:hAnsi="宋体"/>
          <w:color w:val="auto"/>
          <w:sz w:val="24"/>
          <w:highlight w:val="none"/>
        </w:rPr>
        <w:t>如中标人不按时签订合同、</w:t>
      </w:r>
      <w:r>
        <w:rPr>
          <w:rFonts w:hint="eastAsia" w:ascii="宋体" w:hAnsi="宋体" w:cs="楷体_GB2312"/>
          <w:color w:val="auto"/>
          <w:sz w:val="24"/>
          <w:highlight w:val="none"/>
          <w:lang w:val="zh-CN"/>
        </w:rPr>
        <w:t>拒签合同的，取消其中标资格，依据招标文件“第三章3.5.5 违背承诺的责任追究措施”，投标人承担相应法律责任及违约责任。</w:t>
      </w:r>
    </w:p>
    <w:p w14:paraId="19F96DA0">
      <w:pPr>
        <w:widowControl w:val="0"/>
        <w:adjustRightInd w:val="0"/>
        <w:snapToGrid w:val="0"/>
        <w:spacing w:before="156" w:beforeLines="50" w:line="300" w:lineRule="auto"/>
        <w:ind w:firstLine="566"/>
        <w:rPr>
          <w:rFonts w:ascii="宋体" w:hAnsi="宋体"/>
          <w:color w:val="auto"/>
          <w:sz w:val="24"/>
          <w:szCs w:val="24"/>
          <w:highlight w:val="none"/>
        </w:rPr>
      </w:pPr>
      <w:r>
        <w:rPr>
          <w:color w:val="auto"/>
          <w:sz w:val="24"/>
          <w:szCs w:val="24"/>
          <w:highlight w:val="none"/>
        </w:rPr>
        <w:t>8.6.3</w:t>
      </w:r>
      <w:r>
        <w:rPr>
          <w:rFonts w:hint="eastAsia"/>
          <w:color w:val="auto"/>
          <w:sz w:val="24"/>
          <w:szCs w:val="24"/>
          <w:highlight w:val="none"/>
        </w:rPr>
        <w:t>合同生效：中标人与采购人签订的合同，双方签字后盖章生效。</w:t>
      </w:r>
      <w:r>
        <w:rPr>
          <w:rFonts w:hint="eastAsia" w:ascii="宋体" w:hAnsi="宋体" w:cs="宋体"/>
          <w:color w:val="auto"/>
          <w:sz w:val="24"/>
          <w:highlight w:val="none"/>
        </w:rPr>
        <w:t>采购人</w:t>
      </w:r>
      <w:r>
        <w:rPr>
          <w:rFonts w:hint="eastAsia" w:ascii="宋体" w:hAnsi="宋体"/>
          <w:color w:val="auto"/>
          <w:sz w:val="24"/>
          <w:szCs w:val="24"/>
          <w:highlight w:val="none"/>
        </w:rPr>
        <w:t>要在合同签订后1个工作日内登陆安阳市政府采购网进行备案并公告</w:t>
      </w:r>
      <w:r>
        <w:rPr>
          <w:rFonts w:hint="eastAsia" w:ascii="宋体" w:hAnsi="宋体" w:cs="宋体"/>
          <w:color w:val="auto"/>
          <w:sz w:val="24"/>
          <w:highlight w:val="none"/>
        </w:rPr>
        <w:t>。</w:t>
      </w:r>
    </w:p>
    <w:p w14:paraId="73828A2A">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 xml:space="preserve">8.6.4 </w:t>
      </w:r>
      <w:r>
        <w:rPr>
          <w:rFonts w:hint="eastAsia"/>
          <w:color w:val="auto"/>
          <w:sz w:val="24"/>
          <w:szCs w:val="24"/>
          <w:highlight w:val="none"/>
        </w:rPr>
        <w:t>《中标通知书》、招标文件</w:t>
      </w:r>
      <w:r>
        <w:rPr>
          <w:rFonts w:hint="eastAsia"/>
          <w:color w:val="auto"/>
          <w:spacing w:val="20"/>
          <w:sz w:val="24"/>
          <w:szCs w:val="24"/>
          <w:highlight w:val="none"/>
        </w:rPr>
        <w:t>及其修改补充澄清</w:t>
      </w:r>
      <w:r>
        <w:rPr>
          <w:rFonts w:hint="eastAsia"/>
          <w:color w:val="auto"/>
          <w:sz w:val="24"/>
          <w:szCs w:val="24"/>
          <w:highlight w:val="none"/>
        </w:rPr>
        <w:t>、中标人的投标文件及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等，均为签订合同的依据。所定合同不得对招标文件和中标人的投标文件作实质性修改，采购人和中标人不得私下订立背离合同实质性内容的协议。</w:t>
      </w:r>
    </w:p>
    <w:p w14:paraId="282626A5">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 xml:space="preserve">8.6.5 </w:t>
      </w:r>
      <w:r>
        <w:rPr>
          <w:rFonts w:hint="eastAsia"/>
          <w:color w:val="auto"/>
          <w:sz w:val="24"/>
          <w:szCs w:val="24"/>
          <w:highlight w:val="none"/>
        </w:rPr>
        <w:t>评审会后，中标人、采购人之间擅自私下谈判、变更中标标的、价格及招投标文件实质性内容的，有关部门将按《中华人民共和国政府采购法》及相关法规的规定处理。</w:t>
      </w:r>
    </w:p>
    <w:p w14:paraId="7140D2CF">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8.6.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采购人与中标人签订《政府采购合同》后，合同履行中产生的纠纷、争议，由采购人与中标人按合同条款及《中华人民共和国民法典》处理。</w:t>
      </w:r>
    </w:p>
    <w:p w14:paraId="484056BF">
      <w:pPr>
        <w:widowControl w:val="0"/>
        <w:adjustRightInd w:val="0"/>
        <w:snapToGrid w:val="0"/>
        <w:spacing w:before="156" w:beforeLines="50" w:line="300" w:lineRule="auto"/>
        <w:ind w:firstLine="556"/>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8.7 </w:t>
      </w:r>
      <w:r>
        <w:rPr>
          <w:rFonts w:hint="eastAsia" w:ascii="黑体" w:hAnsi="黑体" w:eastAsia="黑体" w:cs="楷体_GB2312"/>
          <w:b/>
          <w:color w:val="auto"/>
          <w:sz w:val="24"/>
          <w:highlight w:val="none"/>
          <w:lang w:val="zh-CN"/>
        </w:rPr>
        <w:t>合同补充变更</w:t>
      </w:r>
    </w:p>
    <w:p w14:paraId="6938061E">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8.7.1</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6280BD92">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8.7.2</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3B9AE4C9">
      <w:pPr>
        <w:widowControl w:val="0"/>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招标项目在中标后经有关行政机关批准变更的，批准的行政机关应当自批准之日起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6DA863B5">
      <w:pPr>
        <w:widowControl w:val="0"/>
        <w:adjustRightInd w:val="0"/>
        <w:snapToGrid w:val="0"/>
        <w:spacing w:before="156" w:beforeLines="50" w:line="300" w:lineRule="auto"/>
        <w:ind w:firstLine="555"/>
        <w:rPr>
          <w:color w:val="auto"/>
          <w:sz w:val="24"/>
          <w:szCs w:val="24"/>
          <w:highlight w:val="none"/>
        </w:rPr>
      </w:pPr>
    </w:p>
    <w:p w14:paraId="0D0074DA">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9" w:name="_Toc186018371"/>
      <w:r>
        <w:rPr>
          <w:rFonts w:ascii="黑体" w:hAnsi="黑体" w:eastAsia="黑体" w:cs="楷体_GB2312"/>
          <w:b/>
          <w:bCs/>
          <w:color w:val="auto"/>
          <w:sz w:val="28"/>
          <w:szCs w:val="28"/>
          <w:highlight w:val="none"/>
          <w:lang w:val="zh-CN"/>
        </w:rPr>
        <w:t xml:space="preserve">9 </w:t>
      </w:r>
      <w:r>
        <w:rPr>
          <w:rFonts w:hint="eastAsia" w:ascii="黑体" w:hAnsi="黑体" w:eastAsia="黑体" w:cs="楷体_GB2312"/>
          <w:b/>
          <w:bCs/>
          <w:color w:val="auto"/>
          <w:sz w:val="28"/>
          <w:szCs w:val="28"/>
          <w:highlight w:val="none"/>
          <w:lang w:val="zh-CN"/>
        </w:rPr>
        <w:t>验收</w:t>
      </w:r>
      <w:bookmarkEnd w:id="39"/>
    </w:p>
    <w:p w14:paraId="4038FD9F">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73E4FBD8">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11B5970C">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304A3340">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72697C3F">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5194CF5B">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2C520382">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w:t>
      </w:r>
      <w:r>
        <w:rPr>
          <w:rFonts w:ascii="宋体" w:hAnsi="宋体" w:cs="楷体_GB2312"/>
          <w:color w:val="auto"/>
          <w:sz w:val="24"/>
          <w:highlight w:val="none"/>
          <w:lang w:val="zh-CN"/>
        </w:rPr>
        <w:t>.</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47F2831F">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9</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w:t>
      </w:r>
      <w:r>
        <w:rPr>
          <w:rFonts w:hint="eastAsia" w:ascii="宋体" w:hAnsi="宋体" w:cs="楷体_GB2312"/>
          <w:color w:val="auto"/>
          <w:sz w:val="24"/>
          <w:highlight w:val="none"/>
        </w:rPr>
        <w:t>中标单位</w:t>
      </w:r>
      <w:r>
        <w:rPr>
          <w:rFonts w:hint="eastAsia" w:ascii="宋体" w:hAnsi="宋体" w:cs="楷体_GB2312"/>
          <w:color w:val="auto"/>
          <w:sz w:val="24"/>
          <w:highlight w:val="none"/>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1F95668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9.6 验收公告的时限：采购人要在政府采购项目验收完成后1个工作日内登陆安阳市政府采购网进行验收公告。</w:t>
      </w:r>
    </w:p>
    <w:p w14:paraId="398B1036">
      <w:pPr>
        <w:widowControl w:val="0"/>
        <w:adjustRightInd w:val="0"/>
        <w:snapToGrid w:val="0"/>
        <w:spacing w:before="156" w:beforeLines="50" w:line="300" w:lineRule="auto"/>
        <w:ind w:firstLine="561"/>
        <w:rPr>
          <w:rFonts w:ascii="宋体" w:cs="楷体_GB2312"/>
          <w:color w:val="auto"/>
          <w:sz w:val="24"/>
          <w:highlight w:val="none"/>
          <w:lang w:val="zh-CN"/>
        </w:rPr>
      </w:pPr>
    </w:p>
    <w:p w14:paraId="41EE97A7">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0" w:name="_Toc186018372"/>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付款</w:t>
      </w:r>
      <w:bookmarkEnd w:id="40"/>
    </w:p>
    <w:p w14:paraId="4FF8E43E">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2B56CC0A">
      <w:pPr>
        <w:widowControl w:val="0"/>
        <w:adjustRightInd w:val="0"/>
        <w:snapToGrid w:val="0"/>
        <w:spacing w:before="156" w:beforeLines="50" w:line="300" w:lineRule="auto"/>
        <w:rPr>
          <w:rFonts w:ascii="黑体" w:hAnsi="黑体" w:eastAsia="黑体" w:cs="楷体_GB2312"/>
          <w:b/>
          <w:bCs/>
          <w:color w:val="auto"/>
          <w:sz w:val="28"/>
          <w:szCs w:val="28"/>
          <w:highlight w:val="none"/>
          <w:lang w:val="zh-CN"/>
        </w:rPr>
      </w:pPr>
    </w:p>
    <w:p w14:paraId="06BA6B09">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1" w:name="_Toc186018373"/>
      <w:r>
        <w:rPr>
          <w:rFonts w:ascii="黑体" w:hAnsi="黑体" w:eastAsia="黑体" w:cs="楷体_GB2312"/>
          <w:b/>
          <w:bCs/>
          <w:color w:val="auto"/>
          <w:sz w:val="28"/>
          <w:szCs w:val="28"/>
          <w:highlight w:val="none"/>
          <w:lang w:val="zh-CN"/>
        </w:rPr>
        <w:t xml:space="preserve">11 </w:t>
      </w:r>
      <w:r>
        <w:rPr>
          <w:rFonts w:hint="eastAsia" w:ascii="黑体" w:hAnsi="黑体" w:eastAsia="黑体" w:cs="楷体_GB2312"/>
          <w:b/>
          <w:bCs/>
          <w:color w:val="auto"/>
          <w:sz w:val="28"/>
          <w:szCs w:val="28"/>
          <w:highlight w:val="none"/>
          <w:lang w:val="zh-CN"/>
        </w:rPr>
        <w:t>其他</w:t>
      </w:r>
      <w:bookmarkEnd w:id="41"/>
    </w:p>
    <w:p w14:paraId="6E03D69D">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中标服务费等：见投标人须知前附表</w:t>
      </w:r>
    </w:p>
    <w:p w14:paraId="639A8573">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投标人资格条件中包含非法人单位的，招标文件中法定代表人一词相应包含表示证照标示的负责人；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投标人资格条件中包含自然人的，招标文件中法定代表人一词相应包含表示自然人，自然人应由其本人签署投标文件、参加投标，不应再授权他人。</w:t>
      </w:r>
    </w:p>
    <w:p w14:paraId="4762CF25">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11.3 </w:t>
      </w:r>
      <w:r>
        <w:rPr>
          <w:rFonts w:hint="eastAsia" w:ascii="宋体" w:hAnsi="宋体" w:cs="楷体_GB2312"/>
          <w:color w:val="auto"/>
          <w:sz w:val="24"/>
          <w:highlight w:val="none"/>
          <w:lang w:val="zh-CN"/>
        </w:rPr>
        <w:t>招标文件第一章至第四章各章中，用序号标示条、款、项、目，例如：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61BD8F8F">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p>
    <w:p w14:paraId="2B347B63">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42" w:name="_Toc186018374"/>
      <w:bookmarkStart w:id="43" w:name="_Toc58855443"/>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2 河南省政府采购合同融资政策告知函</w:t>
      </w:r>
      <w:bookmarkEnd w:id="42"/>
      <w:bookmarkEnd w:id="43"/>
    </w:p>
    <w:p w14:paraId="4D141F7F">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1C33282B">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1607D94B">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2D82673">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6E024B02">
      <w:pPr>
        <w:widowControl w:val="0"/>
        <w:autoSpaceDE w:val="0"/>
        <w:autoSpaceDN w:val="0"/>
        <w:adjustRightInd w:val="0"/>
        <w:spacing w:before="156" w:beforeLines="50" w:line="300" w:lineRule="auto"/>
        <w:jc w:val="left"/>
        <w:textAlignment w:val="auto"/>
        <w:rPr>
          <w:color w:val="auto"/>
          <w:sz w:val="44"/>
          <w:szCs w:val="44"/>
          <w:highlight w:val="none"/>
        </w:rPr>
      </w:pPr>
    </w:p>
    <w:p w14:paraId="72CA0E64">
      <w:pPr>
        <w:adjustRightInd w:val="0"/>
        <w:snapToGrid w:val="0"/>
        <w:spacing w:before="156" w:beforeLines="50" w:line="300" w:lineRule="auto"/>
        <w:jc w:val="left"/>
        <w:outlineLvl w:val="1"/>
        <w:rPr>
          <w:rFonts w:eastAsia="方正黑体简体"/>
          <w:b/>
          <w:color w:val="auto"/>
          <w:sz w:val="30"/>
          <w:szCs w:val="30"/>
          <w:highlight w:val="none"/>
        </w:rPr>
      </w:pPr>
      <w:bookmarkStart w:id="44" w:name="_GoBack"/>
      <w:bookmarkEnd w:id="44"/>
    </w:p>
    <w:sectPr>
      <w:pgSz w:w="11905" w:h="16837"/>
      <w:pgMar w:top="1091" w:right="1106" w:bottom="993" w:left="1418" w:header="567" w:footer="56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48B2">
    <w:pPr>
      <w:widowControl w:val="0"/>
      <w:snapToGrid w:val="0"/>
      <w:spacing w:line="240" w:lineRule="atLeast"/>
      <w:ind w:right="21" w:firstLine="105" w:firstLineChars="50"/>
      <w:jc w:val="left"/>
      <w:rPr>
        <w:rFonts w:ascii="宋体" w:hAnsi="宋体"/>
        <w:szCs w:val="21"/>
        <w:u w:val="single"/>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2"/>
        <w:rFonts w:ascii="宋体" w:hAnsi="宋体"/>
        <w:szCs w:val="21"/>
        <w:u w:val="single"/>
      </w:rPr>
      <w:fldChar w:fldCharType="begin"/>
    </w:r>
    <w:r>
      <w:rPr>
        <w:rStyle w:val="22"/>
        <w:rFonts w:ascii="宋体" w:hAnsi="宋体"/>
        <w:szCs w:val="21"/>
        <w:u w:val="single"/>
      </w:rPr>
      <w:instrText xml:space="preserve"> PAGE </w:instrText>
    </w:r>
    <w:r>
      <w:rPr>
        <w:rStyle w:val="22"/>
        <w:rFonts w:ascii="宋体" w:hAnsi="宋体"/>
        <w:szCs w:val="21"/>
        <w:u w:val="single"/>
      </w:rPr>
      <w:fldChar w:fldCharType="separate"/>
    </w:r>
    <w:r>
      <w:rPr>
        <w:rStyle w:val="22"/>
        <w:rFonts w:ascii="宋体" w:hAnsi="宋体"/>
        <w:szCs w:val="21"/>
        <w:u w:val="single"/>
      </w:rPr>
      <w:t>- 11 -</w:t>
    </w:r>
    <w:r>
      <w:rPr>
        <w:rStyle w:val="22"/>
        <w:rFonts w:ascii="宋体" w:hAnsi="宋体"/>
        <w:szCs w:val="21"/>
        <w:u w:val="single"/>
      </w:rPr>
      <w:fldChar w:fldCharType="end"/>
    </w:r>
    <w:r>
      <w:rPr>
        <w:rStyle w:val="22"/>
        <w:rFonts w:ascii="宋体" w:hAnsi="宋体"/>
        <w:szCs w:val="21"/>
        <w:u w:val="single"/>
      </w:rPr>
      <w:t xml:space="preserve"> </w:t>
    </w:r>
    <w:r>
      <w:rPr>
        <w:rStyle w:val="22"/>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2"/>
        <w:szCs w:val="21"/>
        <w:u w:val="single"/>
      </w:rPr>
      <w:t>71</w:t>
    </w:r>
    <w:r>
      <w:rPr>
        <w:rStyle w:val="22"/>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文本框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Jo/E4C4AQAAagMAAA4AAABkcnMvZTJvRG9jLnhtbK1T&#10;S27bMBDdF8gdCO5rykYdN4LlAIWRoEDRFkhyAJqiLAL8YUhb8gXaG3TVTfc9l8/RIWU5v00W3VCj&#10;mdGb995Qy+veaLKXEJSzFZ1OCkqkFa5WdlvRh/ub9x8pCZHbmmtnZUUPMtDr1cW7ZedLOXOt07UE&#10;giA2lJ2vaBujLxkLopWGh4nz0mKxcWB4xFfYshp4h+hGs1lRXLLOQe3BCRkCZtdDkZ4Q4S2ArmmU&#10;kGsndkbaOKCC1DyipNAqH+gqs20aKeK3pgkyEl1RVBrziUMw3qSTrZa83AL3rRInCvwtFF5oMlxZ&#10;HHqGWvPIyQ7UKyijBLjgmjgRzrBBSHYEVUyLF97ctdzLrAWtDv5sevh/sOLr/jsQVVd0RonlBhd+&#10;/PXz+Pvv8c8PMi1ml8mhzocSG+88tsb+k+vx3oz5gMkkvG/ApCdKIlhHfw9nf2UficDkfDG/+jDH&#10;ksDadHG1KOYJhj1+7SHEW+kMSUFFAfeXbeX7LyEOrWNLGmbdjdI671DbZwnETBmWqA8UU7Rx9QE1&#10;6M8WLUzXYQxgDDZjsPOgti1yyEozDq4gkz1dl7Tjp+952uMvsv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ne5yNkAAAAOAQAADwAAAAAAAAABACAAAAAiAAAAZHJzL2Rvd25yZXYueG1sUEsBAhQA&#10;FAAAAAgAh07iQJo/E4C4AQAAagMAAA4AAAAAAAAAAQAgAAAAKAEAAGRycy9lMm9Eb2MueG1sUEsF&#10;BgAAAAAGAAYAWQEAAFI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ECDE">
    <w:pPr>
      <w:pStyle w:val="10"/>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1CD7AAE2">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BE0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1F88">
    <w:pPr>
      <w:spacing w:line="212" w:lineRule="auto"/>
      <w:ind w:left="16"/>
      <w:rPr>
        <w:rFonts w:ascii="仿宋" w:hAnsi="仿宋" w:eastAsia="仿宋" w:cs="仿宋"/>
        <w:sz w:val="18"/>
        <w:szCs w:val="18"/>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2"/>
        <w:rFonts w:ascii="宋体" w:hAnsi="宋体"/>
        <w:szCs w:val="21"/>
        <w:u w:val="single"/>
      </w:rPr>
      <w:fldChar w:fldCharType="begin"/>
    </w:r>
    <w:r>
      <w:rPr>
        <w:rStyle w:val="22"/>
        <w:rFonts w:ascii="宋体" w:hAnsi="宋体"/>
        <w:szCs w:val="21"/>
        <w:u w:val="single"/>
      </w:rPr>
      <w:instrText xml:space="preserve"> PAGE </w:instrText>
    </w:r>
    <w:r>
      <w:rPr>
        <w:rStyle w:val="22"/>
        <w:rFonts w:ascii="宋体" w:hAnsi="宋体"/>
        <w:szCs w:val="21"/>
        <w:u w:val="single"/>
      </w:rPr>
      <w:fldChar w:fldCharType="separate"/>
    </w:r>
    <w:r>
      <w:rPr>
        <w:rStyle w:val="22"/>
        <w:rFonts w:ascii="宋体" w:hAnsi="宋体"/>
        <w:szCs w:val="21"/>
        <w:u w:val="single"/>
      </w:rPr>
      <w:t>2</w:t>
    </w:r>
    <w:r>
      <w:rPr>
        <w:rStyle w:val="22"/>
        <w:rFonts w:ascii="宋体" w:hAnsi="宋体"/>
        <w:szCs w:val="21"/>
        <w:u w:val="single"/>
      </w:rPr>
      <w:fldChar w:fldCharType="end"/>
    </w:r>
    <w:r>
      <w:rPr>
        <w:rStyle w:val="22"/>
        <w:rFonts w:ascii="宋体" w:hAnsi="宋体"/>
        <w:szCs w:val="21"/>
        <w:u w:val="single"/>
      </w:rPr>
      <w:t xml:space="preserve"> </w:t>
    </w:r>
    <w:r>
      <w:rPr>
        <w:rStyle w:val="22"/>
        <w:rFonts w:hint="eastAsia" w:ascii="宋体" w:hAnsi="宋体"/>
        <w:szCs w:val="21"/>
        <w:u w:val="single"/>
      </w:rPr>
      <w:t>（</w:t>
    </w:r>
    <w:r>
      <w:rPr>
        <w:rFonts w:hint="eastAsia" w:ascii="宋体" w:hAnsi="宋体"/>
        <w:szCs w:val="21"/>
        <w:u w:val="single"/>
      </w:rPr>
      <w:t>共</w:t>
    </w:r>
    <w:r>
      <w:rPr>
        <w:rFonts w:hint="eastAsia"/>
        <w:u w:val="single"/>
      </w:rPr>
      <w:t>76</w:t>
    </w:r>
    <w:r>
      <w:rPr>
        <w:rFonts w:hint="eastAsia" w:ascii="宋体" w:hAnsi="宋体"/>
        <w:szCs w:val="21"/>
        <w:u w:val="single"/>
      </w:rPr>
      <w:t>页</w:t>
    </w:r>
    <w:r>
      <w:rPr>
        <w:rFonts w:ascii="宋体" w:hAnsi="宋体"/>
        <w:szCs w:val="21"/>
        <w:u w:val="singl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4742">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2EH6qYBAABmAwAADgAAAGRycy9lMm9Eb2MueG1srVPB&#10;bhshEL1Xyj8g7vGuo7huVl5HiqxEkaq2UtIPwCx4kYBBDPau/74DaztpesmhF3Z4M/tm3gNW96Oz&#10;7KAiGvAtn89qzpSX0Bm/a/nv18frb5xhEr4TFrxq+VEhv19ffVkNoVE30IPtVGRE4rEZQsv7lEJT&#10;VSh75QTOIChPSQ3RiUTbuKu6KAZid7a6qeuv1QCxCxGkQiR0MyX5iTF+hhC0NlJtQO6d8mlijcqK&#10;RJKwNwH5ukyrtZLpp9aoErMtJ6WprNSE4m1eq/VKNLsoQm/kaQTxmRE+aHLCeGp6odqIJNg+mn+o&#10;nJEREHSaSXDVJKQ4Qirm9QdvXnoRVNFCVmO4mI7/j1b+OPyKzHR0EzjzwtGBv6oxsQcY2Ty7MwRs&#10;qOglUFkaCc6VJxwJzKJHHV3+khxGefL2ePE2k0kCF8vF3e2CUpJy8+Xdsl5kmurt7xAxPSlwLAct&#10;j3R2xVJx+I5pKj2X5GYeHo21hIvG+r8A4sxIlUefRszRFrojabDPnuzLV+EcxHOwPQf7EM2upxmK&#10;0sJD9pdhT1cln+/7fen29j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N05x2AAAAAoBAAAP&#10;AAAAAAAAAAEAIAAAACIAAABkcnMvZG93bnJldi54bWxQSwECFAAUAAAACACHTuJAs2EH6qYBAABm&#10;AwAADgAAAAAAAAABACAAAAAnAQAAZHJzL2Uyb0RvYy54bWxQSwUGAAAAAAYABgBZAQAAPwUAAAAA&#10;">
              <v:fill on="f" focussize="0,0"/>
              <v:stroke on="f"/>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4"/>
    <w:rsid w:val="00001D7A"/>
    <w:rsid w:val="00002B87"/>
    <w:rsid w:val="000042FC"/>
    <w:rsid w:val="00006184"/>
    <w:rsid w:val="000118FF"/>
    <w:rsid w:val="00011F9D"/>
    <w:rsid w:val="000129C4"/>
    <w:rsid w:val="00013814"/>
    <w:rsid w:val="00013DB2"/>
    <w:rsid w:val="00014FA0"/>
    <w:rsid w:val="00015C36"/>
    <w:rsid w:val="00016334"/>
    <w:rsid w:val="00017560"/>
    <w:rsid w:val="0001783F"/>
    <w:rsid w:val="00017E1E"/>
    <w:rsid w:val="00020336"/>
    <w:rsid w:val="00023676"/>
    <w:rsid w:val="00023DFF"/>
    <w:rsid w:val="00024608"/>
    <w:rsid w:val="00025438"/>
    <w:rsid w:val="00025F1E"/>
    <w:rsid w:val="0002701F"/>
    <w:rsid w:val="0002737B"/>
    <w:rsid w:val="0003123D"/>
    <w:rsid w:val="0003321D"/>
    <w:rsid w:val="000339BC"/>
    <w:rsid w:val="0003567F"/>
    <w:rsid w:val="00036AA4"/>
    <w:rsid w:val="000372BB"/>
    <w:rsid w:val="00041891"/>
    <w:rsid w:val="0004237C"/>
    <w:rsid w:val="00042CA8"/>
    <w:rsid w:val="00042F27"/>
    <w:rsid w:val="000437D6"/>
    <w:rsid w:val="00043821"/>
    <w:rsid w:val="00043CBA"/>
    <w:rsid w:val="00043D90"/>
    <w:rsid w:val="000441FD"/>
    <w:rsid w:val="00045899"/>
    <w:rsid w:val="000458E7"/>
    <w:rsid w:val="00050832"/>
    <w:rsid w:val="00052D79"/>
    <w:rsid w:val="00056986"/>
    <w:rsid w:val="00056C7E"/>
    <w:rsid w:val="00057BA0"/>
    <w:rsid w:val="00057F78"/>
    <w:rsid w:val="0006134B"/>
    <w:rsid w:val="000622B5"/>
    <w:rsid w:val="00062784"/>
    <w:rsid w:val="00062821"/>
    <w:rsid w:val="00065301"/>
    <w:rsid w:val="00070DCC"/>
    <w:rsid w:val="00071C34"/>
    <w:rsid w:val="00072834"/>
    <w:rsid w:val="000732AB"/>
    <w:rsid w:val="0007358E"/>
    <w:rsid w:val="0007390E"/>
    <w:rsid w:val="00073A45"/>
    <w:rsid w:val="00074985"/>
    <w:rsid w:val="00077629"/>
    <w:rsid w:val="00080AE9"/>
    <w:rsid w:val="00081801"/>
    <w:rsid w:val="00081C6C"/>
    <w:rsid w:val="000823AD"/>
    <w:rsid w:val="0008258F"/>
    <w:rsid w:val="000829A8"/>
    <w:rsid w:val="000829DB"/>
    <w:rsid w:val="00083869"/>
    <w:rsid w:val="00084C56"/>
    <w:rsid w:val="00085435"/>
    <w:rsid w:val="00086B70"/>
    <w:rsid w:val="000906F2"/>
    <w:rsid w:val="00090D6B"/>
    <w:rsid w:val="00090EB6"/>
    <w:rsid w:val="00091C5E"/>
    <w:rsid w:val="0009268E"/>
    <w:rsid w:val="000929AC"/>
    <w:rsid w:val="000929C6"/>
    <w:rsid w:val="0009302D"/>
    <w:rsid w:val="00093A6B"/>
    <w:rsid w:val="000956CE"/>
    <w:rsid w:val="000962DF"/>
    <w:rsid w:val="000A1EF0"/>
    <w:rsid w:val="000A2F4F"/>
    <w:rsid w:val="000A3FE8"/>
    <w:rsid w:val="000A4640"/>
    <w:rsid w:val="000A55EE"/>
    <w:rsid w:val="000A61F5"/>
    <w:rsid w:val="000A688B"/>
    <w:rsid w:val="000A7A3C"/>
    <w:rsid w:val="000A7B72"/>
    <w:rsid w:val="000B1334"/>
    <w:rsid w:val="000B2559"/>
    <w:rsid w:val="000B2A69"/>
    <w:rsid w:val="000B3DD8"/>
    <w:rsid w:val="000B4758"/>
    <w:rsid w:val="000B535A"/>
    <w:rsid w:val="000B5412"/>
    <w:rsid w:val="000B6571"/>
    <w:rsid w:val="000B7B78"/>
    <w:rsid w:val="000C0072"/>
    <w:rsid w:val="000C0358"/>
    <w:rsid w:val="000C17C5"/>
    <w:rsid w:val="000C2AA6"/>
    <w:rsid w:val="000C2E46"/>
    <w:rsid w:val="000C418B"/>
    <w:rsid w:val="000C5E57"/>
    <w:rsid w:val="000C6578"/>
    <w:rsid w:val="000D1898"/>
    <w:rsid w:val="000D2631"/>
    <w:rsid w:val="000D29E1"/>
    <w:rsid w:val="000E02FC"/>
    <w:rsid w:val="000E07C6"/>
    <w:rsid w:val="000E127A"/>
    <w:rsid w:val="000E41D5"/>
    <w:rsid w:val="000E54A0"/>
    <w:rsid w:val="000E6E96"/>
    <w:rsid w:val="000F0906"/>
    <w:rsid w:val="000F0D31"/>
    <w:rsid w:val="000F108C"/>
    <w:rsid w:val="000F3188"/>
    <w:rsid w:val="000F3282"/>
    <w:rsid w:val="000F3D46"/>
    <w:rsid w:val="000F3E7E"/>
    <w:rsid w:val="000F4146"/>
    <w:rsid w:val="000F4C91"/>
    <w:rsid w:val="000F71A3"/>
    <w:rsid w:val="000F756B"/>
    <w:rsid w:val="000F7917"/>
    <w:rsid w:val="000F79CB"/>
    <w:rsid w:val="000F7BE8"/>
    <w:rsid w:val="0010005D"/>
    <w:rsid w:val="0010292D"/>
    <w:rsid w:val="00103B89"/>
    <w:rsid w:val="00103EBE"/>
    <w:rsid w:val="001056D3"/>
    <w:rsid w:val="00107435"/>
    <w:rsid w:val="00110434"/>
    <w:rsid w:val="00110916"/>
    <w:rsid w:val="00111476"/>
    <w:rsid w:val="001118D4"/>
    <w:rsid w:val="00113D0A"/>
    <w:rsid w:val="00115075"/>
    <w:rsid w:val="001163D8"/>
    <w:rsid w:val="00117724"/>
    <w:rsid w:val="00120466"/>
    <w:rsid w:val="00123128"/>
    <w:rsid w:val="00124C33"/>
    <w:rsid w:val="00124FA8"/>
    <w:rsid w:val="0012536B"/>
    <w:rsid w:val="00126132"/>
    <w:rsid w:val="00126CF1"/>
    <w:rsid w:val="00130453"/>
    <w:rsid w:val="00131B13"/>
    <w:rsid w:val="00131CCB"/>
    <w:rsid w:val="00132364"/>
    <w:rsid w:val="001331D2"/>
    <w:rsid w:val="001342A5"/>
    <w:rsid w:val="00134F57"/>
    <w:rsid w:val="00135227"/>
    <w:rsid w:val="001364C3"/>
    <w:rsid w:val="001373F3"/>
    <w:rsid w:val="001376B5"/>
    <w:rsid w:val="001378C9"/>
    <w:rsid w:val="001401E4"/>
    <w:rsid w:val="001403FB"/>
    <w:rsid w:val="001409F2"/>
    <w:rsid w:val="00141452"/>
    <w:rsid w:val="00144530"/>
    <w:rsid w:val="00146773"/>
    <w:rsid w:val="001531FB"/>
    <w:rsid w:val="001532B2"/>
    <w:rsid w:val="001537D5"/>
    <w:rsid w:val="0015450A"/>
    <w:rsid w:val="0015450D"/>
    <w:rsid w:val="00154664"/>
    <w:rsid w:val="0015691C"/>
    <w:rsid w:val="00157A88"/>
    <w:rsid w:val="00161EAD"/>
    <w:rsid w:val="00162673"/>
    <w:rsid w:val="00166938"/>
    <w:rsid w:val="0016693E"/>
    <w:rsid w:val="00167109"/>
    <w:rsid w:val="0016783C"/>
    <w:rsid w:val="0017043A"/>
    <w:rsid w:val="001708C3"/>
    <w:rsid w:val="00170AE1"/>
    <w:rsid w:val="0017175B"/>
    <w:rsid w:val="0017176A"/>
    <w:rsid w:val="001717B5"/>
    <w:rsid w:val="001719D7"/>
    <w:rsid w:val="00172A27"/>
    <w:rsid w:val="00172A7E"/>
    <w:rsid w:val="00175025"/>
    <w:rsid w:val="00175E3A"/>
    <w:rsid w:val="00182CA9"/>
    <w:rsid w:val="00183ABB"/>
    <w:rsid w:val="00186884"/>
    <w:rsid w:val="00186DFE"/>
    <w:rsid w:val="00187C84"/>
    <w:rsid w:val="00191091"/>
    <w:rsid w:val="0019156E"/>
    <w:rsid w:val="001918A1"/>
    <w:rsid w:val="00194451"/>
    <w:rsid w:val="00194B16"/>
    <w:rsid w:val="001965DC"/>
    <w:rsid w:val="0019697C"/>
    <w:rsid w:val="00196E5D"/>
    <w:rsid w:val="001A02B0"/>
    <w:rsid w:val="001A1BB5"/>
    <w:rsid w:val="001A1D5B"/>
    <w:rsid w:val="001A1EE2"/>
    <w:rsid w:val="001A2564"/>
    <w:rsid w:val="001A46D0"/>
    <w:rsid w:val="001A555E"/>
    <w:rsid w:val="001A5D00"/>
    <w:rsid w:val="001A733E"/>
    <w:rsid w:val="001B3387"/>
    <w:rsid w:val="001B353D"/>
    <w:rsid w:val="001B4202"/>
    <w:rsid w:val="001B5626"/>
    <w:rsid w:val="001B598B"/>
    <w:rsid w:val="001B6072"/>
    <w:rsid w:val="001B7085"/>
    <w:rsid w:val="001B7B35"/>
    <w:rsid w:val="001C015C"/>
    <w:rsid w:val="001C050D"/>
    <w:rsid w:val="001C219F"/>
    <w:rsid w:val="001C2389"/>
    <w:rsid w:val="001C2D34"/>
    <w:rsid w:val="001C397C"/>
    <w:rsid w:val="001C4B92"/>
    <w:rsid w:val="001C56BF"/>
    <w:rsid w:val="001C572D"/>
    <w:rsid w:val="001C6195"/>
    <w:rsid w:val="001C6505"/>
    <w:rsid w:val="001C6FC8"/>
    <w:rsid w:val="001D14A1"/>
    <w:rsid w:val="001D17A7"/>
    <w:rsid w:val="001D292F"/>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45BE"/>
    <w:rsid w:val="001E5C93"/>
    <w:rsid w:val="001F543B"/>
    <w:rsid w:val="001F6921"/>
    <w:rsid w:val="001F7D39"/>
    <w:rsid w:val="001F7ECB"/>
    <w:rsid w:val="00202D93"/>
    <w:rsid w:val="00202E2A"/>
    <w:rsid w:val="00203933"/>
    <w:rsid w:val="00204A14"/>
    <w:rsid w:val="00204C09"/>
    <w:rsid w:val="00205148"/>
    <w:rsid w:val="002052BF"/>
    <w:rsid w:val="0020536F"/>
    <w:rsid w:val="002053E8"/>
    <w:rsid w:val="00205670"/>
    <w:rsid w:val="00205DC9"/>
    <w:rsid w:val="0020635B"/>
    <w:rsid w:val="002064E1"/>
    <w:rsid w:val="00207968"/>
    <w:rsid w:val="00207B50"/>
    <w:rsid w:val="00212022"/>
    <w:rsid w:val="00214228"/>
    <w:rsid w:val="0021493D"/>
    <w:rsid w:val="00214DD7"/>
    <w:rsid w:val="00214F54"/>
    <w:rsid w:val="002155C5"/>
    <w:rsid w:val="0021708F"/>
    <w:rsid w:val="002228C6"/>
    <w:rsid w:val="00222C4A"/>
    <w:rsid w:val="002238AE"/>
    <w:rsid w:val="002238BD"/>
    <w:rsid w:val="002247B5"/>
    <w:rsid w:val="0022623B"/>
    <w:rsid w:val="0022680B"/>
    <w:rsid w:val="0023012A"/>
    <w:rsid w:val="00231D21"/>
    <w:rsid w:val="0023225F"/>
    <w:rsid w:val="0023255F"/>
    <w:rsid w:val="00235797"/>
    <w:rsid w:val="0023589D"/>
    <w:rsid w:val="00235F2B"/>
    <w:rsid w:val="00236EE2"/>
    <w:rsid w:val="00237A15"/>
    <w:rsid w:val="00240733"/>
    <w:rsid w:val="00241D3A"/>
    <w:rsid w:val="002423AD"/>
    <w:rsid w:val="0024269B"/>
    <w:rsid w:val="00244532"/>
    <w:rsid w:val="00244845"/>
    <w:rsid w:val="00244B40"/>
    <w:rsid w:val="00246A36"/>
    <w:rsid w:val="002474DF"/>
    <w:rsid w:val="00247523"/>
    <w:rsid w:val="002475F4"/>
    <w:rsid w:val="00247993"/>
    <w:rsid w:val="00247F59"/>
    <w:rsid w:val="0025043E"/>
    <w:rsid w:val="002506A5"/>
    <w:rsid w:val="00250D5C"/>
    <w:rsid w:val="00252438"/>
    <w:rsid w:val="00253446"/>
    <w:rsid w:val="00254149"/>
    <w:rsid w:val="00254F6E"/>
    <w:rsid w:val="00255939"/>
    <w:rsid w:val="00255F05"/>
    <w:rsid w:val="0025656F"/>
    <w:rsid w:val="002574D7"/>
    <w:rsid w:val="00257B22"/>
    <w:rsid w:val="00260E74"/>
    <w:rsid w:val="00263FF4"/>
    <w:rsid w:val="002665E4"/>
    <w:rsid w:val="002673AF"/>
    <w:rsid w:val="00270437"/>
    <w:rsid w:val="0027067C"/>
    <w:rsid w:val="00270D09"/>
    <w:rsid w:val="00270FE1"/>
    <w:rsid w:val="00271ABB"/>
    <w:rsid w:val="0027281A"/>
    <w:rsid w:val="00272DEC"/>
    <w:rsid w:val="002759A2"/>
    <w:rsid w:val="00276204"/>
    <w:rsid w:val="00276C58"/>
    <w:rsid w:val="00280E45"/>
    <w:rsid w:val="002810F8"/>
    <w:rsid w:val="00282504"/>
    <w:rsid w:val="00283767"/>
    <w:rsid w:val="002901A4"/>
    <w:rsid w:val="00290ACC"/>
    <w:rsid w:val="00290D50"/>
    <w:rsid w:val="00291105"/>
    <w:rsid w:val="002936B7"/>
    <w:rsid w:val="0029442F"/>
    <w:rsid w:val="0029595B"/>
    <w:rsid w:val="00295A34"/>
    <w:rsid w:val="00296501"/>
    <w:rsid w:val="0029679C"/>
    <w:rsid w:val="00297034"/>
    <w:rsid w:val="00297330"/>
    <w:rsid w:val="002975BF"/>
    <w:rsid w:val="0029799B"/>
    <w:rsid w:val="002A0906"/>
    <w:rsid w:val="002A1CD2"/>
    <w:rsid w:val="002A2127"/>
    <w:rsid w:val="002A2B5C"/>
    <w:rsid w:val="002A2B93"/>
    <w:rsid w:val="002A4898"/>
    <w:rsid w:val="002A4F6F"/>
    <w:rsid w:val="002A5411"/>
    <w:rsid w:val="002A6206"/>
    <w:rsid w:val="002A6ED3"/>
    <w:rsid w:val="002B01D6"/>
    <w:rsid w:val="002B2CE9"/>
    <w:rsid w:val="002B2F3A"/>
    <w:rsid w:val="002B5E0D"/>
    <w:rsid w:val="002B6471"/>
    <w:rsid w:val="002B7A62"/>
    <w:rsid w:val="002C00FF"/>
    <w:rsid w:val="002C2475"/>
    <w:rsid w:val="002C3D91"/>
    <w:rsid w:val="002C4340"/>
    <w:rsid w:val="002C4F66"/>
    <w:rsid w:val="002C5F65"/>
    <w:rsid w:val="002C61E4"/>
    <w:rsid w:val="002C65FF"/>
    <w:rsid w:val="002C75BE"/>
    <w:rsid w:val="002D157C"/>
    <w:rsid w:val="002D18BE"/>
    <w:rsid w:val="002D3A86"/>
    <w:rsid w:val="002D40BF"/>
    <w:rsid w:val="002D49C0"/>
    <w:rsid w:val="002D6B6F"/>
    <w:rsid w:val="002D7A77"/>
    <w:rsid w:val="002D7BE8"/>
    <w:rsid w:val="002E098C"/>
    <w:rsid w:val="002E3749"/>
    <w:rsid w:val="002E3E40"/>
    <w:rsid w:val="002E474B"/>
    <w:rsid w:val="002E76EF"/>
    <w:rsid w:val="002E7941"/>
    <w:rsid w:val="002E7E70"/>
    <w:rsid w:val="002F08C6"/>
    <w:rsid w:val="002F091C"/>
    <w:rsid w:val="002F14E3"/>
    <w:rsid w:val="002F24F3"/>
    <w:rsid w:val="002F2754"/>
    <w:rsid w:val="002F27B6"/>
    <w:rsid w:val="002F2CD7"/>
    <w:rsid w:val="002F37CB"/>
    <w:rsid w:val="002F4ADA"/>
    <w:rsid w:val="002F5465"/>
    <w:rsid w:val="002F7AD0"/>
    <w:rsid w:val="002F7EF3"/>
    <w:rsid w:val="0030169A"/>
    <w:rsid w:val="00303A7C"/>
    <w:rsid w:val="00306123"/>
    <w:rsid w:val="00307CF1"/>
    <w:rsid w:val="0031007D"/>
    <w:rsid w:val="003107DD"/>
    <w:rsid w:val="00310B97"/>
    <w:rsid w:val="00311B9B"/>
    <w:rsid w:val="00311CDC"/>
    <w:rsid w:val="00311F97"/>
    <w:rsid w:val="0031279C"/>
    <w:rsid w:val="00313380"/>
    <w:rsid w:val="00313E93"/>
    <w:rsid w:val="003142BE"/>
    <w:rsid w:val="0031536A"/>
    <w:rsid w:val="003157D1"/>
    <w:rsid w:val="00316F94"/>
    <w:rsid w:val="00317222"/>
    <w:rsid w:val="00321555"/>
    <w:rsid w:val="00322799"/>
    <w:rsid w:val="003241F1"/>
    <w:rsid w:val="00324984"/>
    <w:rsid w:val="00325EB2"/>
    <w:rsid w:val="00326A53"/>
    <w:rsid w:val="003301E5"/>
    <w:rsid w:val="003339D1"/>
    <w:rsid w:val="00333BB7"/>
    <w:rsid w:val="0033428E"/>
    <w:rsid w:val="00334800"/>
    <w:rsid w:val="00334CC7"/>
    <w:rsid w:val="003355B7"/>
    <w:rsid w:val="00336C72"/>
    <w:rsid w:val="0034044F"/>
    <w:rsid w:val="003424B9"/>
    <w:rsid w:val="00343634"/>
    <w:rsid w:val="00343A1D"/>
    <w:rsid w:val="00343D9C"/>
    <w:rsid w:val="00344987"/>
    <w:rsid w:val="003459A8"/>
    <w:rsid w:val="003463EF"/>
    <w:rsid w:val="003465F0"/>
    <w:rsid w:val="00346AF1"/>
    <w:rsid w:val="00347CFE"/>
    <w:rsid w:val="0035121B"/>
    <w:rsid w:val="00352A69"/>
    <w:rsid w:val="00352D4E"/>
    <w:rsid w:val="00353D74"/>
    <w:rsid w:val="0035556C"/>
    <w:rsid w:val="0035574A"/>
    <w:rsid w:val="00356466"/>
    <w:rsid w:val="00360A1D"/>
    <w:rsid w:val="00360ACB"/>
    <w:rsid w:val="00361811"/>
    <w:rsid w:val="00363155"/>
    <w:rsid w:val="00363291"/>
    <w:rsid w:val="00363B02"/>
    <w:rsid w:val="003642B6"/>
    <w:rsid w:val="0036436D"/>
    <w:rsid w:val="003649C7"/>
    <w:rsid w:val="00365BD8"/>
    <w:rsid w:val="0036763F"/>
    <w:rsid w:val="003676C5"/>
    <w:rsid w:val="00370E66"/>
    <w:rsid w:val="0037102A"/>
    <w:rsid w:val="003716BF"/>
    <w:rsid w:val="00371760"/>
    <w:rsid w:val="00372E14"/>
    <w:rsid w:val="0037416F"/>
    <w:rsid w:val="003758BE"/>
    <w:rsid w:val="00376869"/>
    <w:rsid w:val="003768B2"/>
    <w:rsid w:val="003778E8"/>
    <w:rsid w:val="00380598"/>
    <w:rsid w:val="00380ED1"/>
    <w:rsid w:val="00381B01"/>
    <w:rsid w:val="00382317"/>
    <w:rsid w:val="003829D9"/>
    <w:rsid w:val="00383B17"/>
    <w:rsid w:val="00384A92"/>
    <w:rsid w:val="003854F3"/>
    <w:rsid w:val="00385956"/>
    <w:rsid w:val="00386518"/>
    <w:rsid w:val="003902F4"/>
    <w:rsid w:val="00391A61"/>
    <w:rsid w:val="0039425E"/>
    <w:rsid w:val="00397B1C"/>
    <w:rsid w:val="00397E86"/>
    <w:rsid w:val="003A01CC"/>
    <w:rsid w:val="003A027C"/>
    <w:rsid w:val="003A1388"/>
    <w:rsid w:val="003A1D20"/>
    <w:rsid w:val="003A258C"/>
    <w:rsid w:val="003A40E7"/>
    <w:rsid w:val="003A4472"/>
    <w:rsid w:val="003A5114"/>
    <w:rsid w:val="003A5DC1"/>
    <w:rsid w:val="003A66AB"/>
    <w:rsid w:val="003A6E2E"/>
    <w:rsid w:val="003A78B7"/>
    <w:rsid w:val="003B06A2"/>
    <w:rsid w:val="003B099F"/>
    <w:rsid w:val="003B0EA2"/>
    <w:rsid w:val="003B13BE"/>
    <w:rsid w:val="003B5B12"/>
    <w:rsid w:val="003B5BD6"/>
    <w:rsid w:val="003B5D7B"/>
    <w:rsid w:val="003B5F19"/>
    <w:rsid w:val="003B6A79"/>
    <w:rsid w:val="003B72E5"/>
    <w:rsid w:val="003C0663"/>
    <w:rsid w:val="003C0E0B"/>
    <w:rsid w:val="003C1220"/>
    <w:rsid w:val="003C2C2C"/>
    <w:rsid w:val="003C5333"/>
    <w:rsid w:val="003C5626"/>
    <w:rsid w:val="003C6339"/>
    <w:rsid w:val="003C6B76"/>
    <w:rsid w:val="003C6D3A"/>
    <w:rsid w:val="003D14DA"/>
    <w:rsid w:val="003D3B92"/>
    <w:rsid w:val="003D4056"/>
    <w:rsid w:val="003D415D"/>
    <w:rsid w:val="003D46D1"/>
    <w:rsid w:val="003D73FA"/>
    <w:rsid w:val="003E1356"/>
    <w:rsid w:val="003E184C"/>
    <w:rsid w:val="003E4925"/>
    <w:rsid w:val="003E58E5"/>
    <w:rsid w:val="003E7858"/>
    <w:rsid w:val="003E7C9B"/>
    <w:rsid w:val="003E7D25"/>
    <w:rsid w:val="003F0417"/>
    <w:rsid w:val="003F19AA"/>
    <w:rsid w:val="003F27B9"/>
    <w:rsid w:val="003F3098"/>
    <w:rsid w:val="003F30DE"/>
    <w:rsid w:val="003F36ED"/>
    <w:rsid w:val="003F428A"/>
    <w:rsid w:val="003F5AB0"/>
    <w:rsid w:val="003F5BC2"/>
    <w:rsid w:val="003F6324"/>
    <w:rsid w:val="00400F91"/>
    <w:rsid w:val="004017C0"/>
    <w:rsid w:val="00402338"/>
    <w:rsid w:val="00403958"/>
    <w:rsid w:val="00405A9D"/>
    <w:rsid w:val="00406CCB"/>
    <w:rsid w:val="00406E3F"/>
    <w:rsid w:val="00406E48"/>
    <w:rsid w:val="004075AA"/>
    <w:rsid w:val="004137F3"/>
    <w:rsid w:val="00415470"/>
    <w:rsid w:val="00416388"/>
    <w:rsid w:val="00417D4F"/>
    <w:rsid w:val="00420D65"/>
    <w:rsid w:val="004223F4"/>
    <w:rsid w:val="004224DB"/>
    <w:rsid w:val="004255BE"/>
    <w:rsid w:val="00427087"/>
    <w:rsid w:val="004300B5"/>
    <w:rsid w:val="0043103D"/>
    <w:rsid w:val="00431912"/>
    <w:rsid w:val="00432670"/>
    <w:rsid w:val="0043292C"/>
    <w:rsid w:val="004342C9"/>
    <w:rsid w:val="00435B06"/>
    <w:rsid w:val="00436A49"/>
    <w:rsid w:val="00436DE1"/>
    <w:rsid w:val="00440412"/>
    <w:rsid w:val="00443674"/>
    <w:rsid w:val="00443769"/>
    <w:rsid w:val="00443935"/>
    <w:rsid w:val="004442B3"/>
    <w:rsid w:val="00444A73"/>
    <w:rsid w:val="00445986"/>
    <w:rsid w:val="00445CA7"/>
    <w:rsid w:val="00446613"/>
    <w:rsid w:val="0044662E"/>
    <w:rsid w:val="00447654"/>
    <w:rsid w:val="004476BD"/>
    <w:rsid w:val="004476E6"/>
    <w:rsid w:val="004513F9"/>
    <w:rsid w:val="004529F7"/>
    <w:rsid w:val="00452D98"/>
    <w:rsid w:val="00452F36"/>
    <w:rsid w:val="00453130"/>
    <w:rsid w:val="0045372B"/>
    <w:rsid w:val="0045394E"/>
    <w:rsid w:val="00453C73"/>
    <w:rsid w:val="00454B5D"/>
    <w:rsid w:val="00455B44"/>
    <w:rsid w:val="00456FA3"/>
    <w:rsid w:val="0045754E"/>
    <w:rsid w:val="0046086D"/>
    <w:rsid w:val="004624DE"/>
    <w:rsid w:val="00462CC5"/>
    <w:rsid w:val="00463EAE"/>
    <w:rsid w:val="004640E1"/>
    <w:rsid w:val="00464491"/>
    <w:rsid w:val="00464BE8"/>
    <w:rsid w:val="00465DE3"/>
    <w:rsid w:val="004719E1"/>
    <w:rsid w:val="0047305B"/>
    <w:rsid w:val="004755C3"/>
    <w:rsid w:val="00475A0F"/>
    <w:rsid w:val="004766C8"/>
    <w:rsid w:val="00476DEE"/>
    <w:rsid w:val="004771A7"/>
    <w:rsid w:val="00477DF1"/>
    <w:rsid w:val="004805E1"/>
    <w:rsid w:val="0048194E"/>
    <w:rsid w:val="00481A4B"/>
    <w:rsid w:val="004852F8"/>
    <w:rsid w:val="004864A7"/>
    <w:rsid w:val="00486D4E"/>
    <w:rsid w:val="00491D8B"/>
    <w:rsid w:val="00492B91"/>
    <w:rsid w:val="0049352F"/>
    <w:rsid w:val="00493D28"/>
    <w:rsid w:val="00495099"/>
    <w:rsid w:val="004964CB"/>
    <w:rsid w:val="004A1557"/>
    <w:rsid w:val="004A40B9"/>
    <w:rsid w:val="004A465C"/>
    <w:rsid w:val="004A6204"/>
    <w:rsid w:val="004A73CD"/>
    <w:rsid w:val="004A791C"/>
    <w:rsid w:val="004B0C70"/>
    <w:rsid w:val="004B0EC4"/>
    <w:rsid w:val="004B10CD"/>
    <w:rsid w:val="004B2765"/>
    <w:rsid w:val="004B2A37"/>
    <w:rsid w:val="004B30E9"/>
    <w:rsid w:val="004B3309"/>
    <w:rsid w:val="004B362E"/>
    <w:rsid w:val="004B43B7"/>
    <w:rsid w:val="004B6984"/>
    <w:rsid w:val="004B6E50"/>
    <w:rsid w:val="004C01CB"/>
    <w:rsid w:val="004C05F2"/>
    <w:rsid w:val="004C0640"/>
    <w:rsid w:val="004C223F"/>
    <w:rsid w:val="004C2689"/>
    <w:rsid w:val="004C2B0F"/>
    <w:rsid w:val="004C407E"/>
    <w:rsid w:val="004C4AB1"/>
    <w:rsid w:val="004C4F49"/>
    <w:rsid w:val="004C7A15"/>
    <w:rsid w:val="004D11B7"/>
    <w:rsid w:val="004D281D"/>
    <w:rsid w:val="004D3F97"/>
    <w:rsid w:val="004D4B39"/>
    <w:rsid w:val="004D52E2"/>
    <w:rsid w:val="004D55CE"/>
    <w:rsid w:val="004D57A0"/>
    <w:rsid w:val="004D5F81"/>
    <w:rsid w:val="004D61D0"/>
    <w:rsid w:val="004D69B9"/>
    <w:rsid w:val="004E0448"/>
    <w:rsid w:val="004E0791"/>
    <w:rsid w:val="004E0DB8"/>
    <w:rsid w:val="004E1C15"/>
    <w:rsid w:val="004E44CC"/>
    <w:rsid w:val="004E5CA5"/>
    <w:rsid w:val="004E635C"/>
    <w:rsid w:val="004E640D"/>
    <w:rsid w:val="004E7D70"/>
    <w:rsid w:val="004F0E19"/>
    <w:rsid w:val="004F2358"/>
    <w:rsid w:val="004F345D"/>
    <w:rsid w:val="004F354D"/>
    <w:rsid w:val="004F6977"/>
    <w:rsid w:val="004F7220"/>
    <w:rsid w:val="004F7B32"/>
    <w:rsid w:val="00501FA2"/>
    <w:rsid w:val="005034FC"/>
    <w:rsid w:val="00503F67"/>
    <w:rsid w:val="005045FB"/>
    <w:rsid w:val="00504C77"/>
    <w:rsid w:val="005055E2"/>
    <w:rsid w:val="005106D5"/>
    <w:rsid w:val="00510994"/>
    <w:rsid w:val="005112F3"/>
    <w:rsid w:val="005126E8"/>
    <w:rsid w:val="00513237"/>
    <w:rsid w:val="0051591D"/>
    <w:rsid w:val="005171DA"/>
    <w:rsid w:val="00517BF1"/>
    <w:rsid w:val="00520645"/>
    <w:rsid w:val="00520920"/>
    <w:rsid w:val="00520AEB"/>
    <w:rsid w:val="0052107B"/>
    <w:rsid w:val="00521372"/>
    <w:rsid w:val="00523184"/>
    <w:rsid w:val="0052357A"/>
    <w:rsid w:val="00523AEC"/>
    <w:rsid w:val="005271C7"/>
    <w:rsid w:val="005272E0"/>
    <w:rsid w:val="00530CE7"/>
    <w:rsid w:val="005316A8"/>
    <w:rsid w:val="00531DBF"/>
    <w:rsid w:val="00535C65"/>
    <w:rsid w:val="00535F30"/>
    <w:rsid w:val="00536DF1"/>
    <w:rsid w:val="00540CA8"/>
    <w:rsid w:val="00540FEC"/>
    <w:rsid w:val="005414D6"/>
    <w:rsid w:val="00541F83"/>
    <w:rsid w:val="00542E1D"/>
    <w:rsid w:val="005430C7"/>
    <w:rsid w:val="00543809"/>
    <w:rsid w:val="00543CB6"/>
    <w:rsid w:val="005446B0"/>
    <w:rsid w:val="00545A1E"/>
    <w:rsid w:val="005465AC"/>
    <w:rsid w:val="0054687E"/>
    <w:rsid w:val="0054690E"/>
    <w:rsid w:val="00546B8F"/>
    <w:rsid w:val="005475A9"/>
    <w:rsid w:val="00547935"/>
    <w:rsid w:val="00547E4F"/>
    <w:rsid w:val="00550022"/>
    <w:rsid w:val="00550074"/>
    <w:rsid w:val="00551DFC"/>
    <w:rsid w:val="0055211A"/>
    <w:rsid w:val="00552F55"/>
    <w:rsid w:val="0055455F"/>
    <w:rsid w:val="00555BCD"/>
    <w:rsid w:val="0055651F"/>
    <w:rsid w:val="005605F8"/>
    <w:rsid w:val="005633D7"/>
    <w:rsid w:val="0056343B"/>
    <w:rsid w:val="00563DD5"/>
    <w:rsid w:val="00564D8E"/>
    <w:rsid w:val="005650C2"/>
    <w:rsid w:val="00565484"/>
    <w:rsid w:val="00565A8C"/>
    <w:rsid w:val="00565EF8"/>
    <w:rsid w:val="00570672"/>
    <w:rsid w:val="005727B7"/>
    <w:rsid w:val="00574068"/>
    <w:rsid w:val="00574682"/>
    <w:rsid w:val="0057682D"/>
    <w:rsid w:val="005807B2"/>
    <w:rsid w:val="00580954"/>
    <w:rsid w:val="00581DAF"/>
    <w:rsid w:val="00582FCA"/>
    <w:rsid w:val="00583A5C"/>
    <w:rsid w:val="00584238"/>
    <w:rsid w:val="005850D6"/>
    <w:rsid w:val="0058565E"/>
    <w:rsid w:val="0058643C"/>
    <w:rsid w:val="005869DE"/>
    <w:rsid w:val="00586EDA"/>
    <w:rsid w:val="005927CD"/>
    <w:rsid w:val="005928F3"/>
    <w:rsid w:val="00592F0D"/>
    <w:rsid w:val="0059343A"/>
    <w:rsid w:val="005946B8"/>
    <w:rsid w:val="00595F94"/>
    <w:rsid w:val="005964EC"/>
    <w:rsid w:val="00596E98"/>
    <w:rsid w:val="005971FD"/>
    <w:rsid w:val="0059746C"/>
    <w:rsid w:val="005A0661"/>
    <w:rsid w:val="005A129B"/>
    <w:rsid w:val="005A1DA9"/>
    <w:rsid w:val="005A1FDF"/>
    <w:rsid w:val="005A4F1F"/>
    <w:rsid w:val="005A6732"/>
    <w:rsid w:val="005A6BD9"/>
    <w:rsid w:val="005A6F0F"/>
    <w:rsid w:val="005B0458"/>
    <w:rsid w:val="005B143F"/>
    <w:rsid w:val="005B1DF6"/>
    <w:rsid w:val="005B213E"/>
    <w:rsid w:val="005B216A"/>
    <w:rsid w:val="005B267A"/>
    <w:rsid w:val="005B4161"/>
    <w:rsid w:val="005B49EB"/>
    <w:rsid w:val="005B7FA4"/>
    <w:rsid w:val="005C3296"/>
    <w:rsid w:val="005C528B"/>
    <w:rsid w:val="005C70CC"/>
    <w:rsid w:val="005D2CB5"/>
    <w:rsid w:val="005D37A8"/>
    <w:rsid w:val="005D386F"/>
    <w:rsid w:val="005D3969"/>
    <w:rsid w:val="005D72C1"/>
    <w:rsid w:val="005D7A6A"/>
    <w:rsid w:val="005E09A9"/>
    <w:rsid w:val="005E1AFA"/>
    <w:rsid w:val="005E4813"/>
    <w:rsid w:val="005E6E82"/>
    <w:rsid w:val="005E7DDA"/>
    <w:rsid w:val="005F1051"/>
    <w:rsid w:val="005F4EFF"/>
    <w:rsid w:val="005F6167"/>
    <w:rsid w:val="005F7ADC"/>
    <w:rsid w:val="00601855"/>
    <w:rsid w:val="006026FD"/>
    <w:rsid w:val="006031DC"/>
    <w:rsid w:val="00604425"/>
    <w:rsid w:val="0060535C"/>
    <w:rsid w:val="0060542A"/>
    <w:rsid w:val="006061C8"/>
    <w:rsid w:val="00607010"/>
    <w:rsid w:val="00607538"/>
    <w:rsid w:val="006102B7"/>
    <w:rsid w:val="00613D71"/>
    <w:rsid w:val="00613E2E"/>
    <w:rsid w:val="0061459D"/>
    <w:rsid w:val="00614EEC"/>
    <w:rsid w:val="00620242"/>
    <w:rsid w:val="006243E7"/>
    <w:rsid w:val="006254F3"/>
    <w:rsid w:val="00625C51"/>
    <w:rsid w:val="00625F00"/>
    <w:rsid w:val="006266EB"/>
    <w:rsid w:val="00627144"/>
    <w:rsid w:val="00627321"/>
    <w:rsid w:val="006313EC"/>
    <w:rsid w:val="006326CB"/>
    <w:rsid w:val="00633421"/>
    <w:rsid w:val="00633CAE"/>
    <w:rsid w:val="0063507E"/>
    <w:rsid w:val="00635319"/>
    <w:rsid w:val="00635AA5"/>
    <w:rsid w:val="0063697C"/>
    <w:rsid w:val="006369CC"/>
    <w:rsid w:val="006374EF"/>
    <w:rsid w:val="00640E45"/>
    <w:rsid w:val="006428C7"/>
    <w:rsid w:val="00643275"/>
    <w:rsid w:val="00643E16"/>
    <w:rsid w:val="00644A08"/>
    <w:rsid w:val="00645391"/>
    <w:rsid w:val="00646631"/>
    <w:rsid w:val="00646F06"/>
    <w:rsid w:val="00647F26"/>
    <w:rsid w:val="00651697"/>
    <w:rsid w:val="00652737"/>
    <w:rsid w:val="006536D6"/>
    <w:rsid w:val="00654653"/>
    <w:rsid w:val="006555AD"/>
    <w:rsid w:val="006560FF"/>
    <w:rsid w:val="00657274"/>
    <w:rsid w:val="00657569"/>
    <w:rsid w:val="00661068"/>
    <w:rsid w:val="00661118"/>
    <w:rsid w:val="00662875"/>
    <w:rsid w:val="00662D4D"/>
    <w:rsid w:val="00663399"/>
    <w:rsid w:val="00663870"/>
    <w:rsid w:val="00663C71"/>
    <w:rsid w:val="006640F9"/>
    <w:rsid w:val="006641C6"/>
    <w:rsid w:val="006647CF"/>
    <w:rsid w:val="00664E25"/>
    <w:rsid w:val="006656A2"/>
    <w:rsid w:val="00665738"/>
    <w:rsid w:val="00666247"/>
    <w:rsid w:val="006679EB"/>
    <w:rsid w:val="00672A26"/>
    <w:rsid w:val="00674C5F"/>
    <w:rsid w:val="00674F5E"/>
    <w:rsid w:val="00675866"/>
    <w:rsid w:val="006763B3"/>
    <w:rsid w:val="006765BB"/>
    <w:rsid w:val="006778A5"/>
    <w:rsid w:val="00677A19"/>
    <w:rsid w:val="00680491"/>
    <w:rsid w:val="00682F0F"/>
    <w:rsid w:val="006830A1"/>
    <w:rsid w:val="00683222"/>
    <w:rsid w:val="00683387"/>
    <w:rsid w:val="00685AE6"/>
    <w:rsid w:val="00686A7A"/>
    <w:rsid w:val="00686F46"/>
    <w:rsid w:val="00687B51"/>
    <w:rsid w:val="006900BC"/>
    <w:rsid w:val="00690721"/>
    <w:rsid w:val="006907CD"/>
    <w:rsid w:val="00690B47"/>
    <w:rsid w:val="00692DDF"/>
    <w:rsid w:val="0069376A"/>
    <w:rsid w:val="00694BF0"/>
    <w:rsid w:val="00697CAF"/>
    <w:rsid w:val="006A0AD6"/>
    <w:rsid w:val="006A14CE"/>
    <w:rsid w:val="006A1725"/>
    <w:rsid w:val="006A1E45"/>
    <w:rsid w:val="006A5D5E"/>
    <w:rsid w:val="006A5EAE"/>
    <w:rsid w:val="006A76FE"/>
    <w:rsid w:val="006A7C8A"/>
    <w:rsid w:val="006B46DC"/>
    <w:rsid w:val="006B666A"/>
    <w:rsid w:val="006B755E"/>
    <w:rsid w:val="006B7F89"/>
    <w:rsid w:val="006C0C8E"/>
    <w:rsid w:val="006C3846"/>
    <w:rsid w:val="006C4725"/>
    <w:rsid w:val="006D1FA6"/>
    <w:rsid w:val="006D21F0"/>
    <w:rsid w:val="006D2952"/>
    <w:rsid w:val="006D3181"/>
    <w:rsid w:val="006D3EDC"/>
    <w:rsid w:val="006D4845"/>
    <w:rsid w:val="006D5CDB"/>
    <w:rsid w:val="006D6ADF"/>
    <w:rsid w:val="006D6BD7"/>
    <w:rsid w:val="006D7839"/>
    <w:rsid w:val="006E02B1"/>
    <w:rsid w:val="006E0414"/>
    <w:rsid w:val="006E06C4"/>
    <w:rsid w:val="006E157D"/>
    <w:rsid w:val="006E2C2F"/>
    <w:rsid w:val="006E34FF"/>
    <w:rsid w:val="006E4279"/>
    <w:rsid w:val="006E519C"/>
    <w:rsid w:val="006E6DDB"/>
    <w:rsid w:val="006F0AC4"/>
    <w:rsid w:val="006F2128"/>
    <w:rsid w:val="006F2CEE"/>
    <w:rsid w:val="006F4297"/>
    <w:rsid w:val="006F5195"/>
    <w:rsid w:val="006F5D2A"/>
    <w:rsid w:val="006F61C3"/>
    <w:rsid w:val="006F730A"/>
    <w:rsid w:val="006F7546"/>
    <w:rsid w:val="00700495"/>
    <w:rsid w:val="00701907"/>
    <w:rsid w:val="0070375B"/>
    <w:rsid w:val="00704686"/>
    <w:rsid w:val="007064D1"/>
    <w:rsid w:val="00706C75"/>
    <w:rsid w:val="00707EEA"/>
    <w:rsid w:val="007106FF"/>
    <w:rsid w:val="00710932"/>
    <w:rsid w:val="00711C46"/>
    <w:rsid w:val="007125F4"/>
    <w:rsid w:val="00714BDB"/>
    <w:rsid w:val="00714E63"/>
    <w:rsid w:val="007158F3"/>
    <w:rsid w:val="0071751C"/>
    <w:rsid w:val="0071795A"/>
    <w:rsid w:val="007235F4"/>
    <w:rsid w:val="00725BFA"/>
    <w:rsid w:val="00726131"/>
    <w:rsid w:val="007269A4"/>
    <w:rsid w:val="00732632"/>
    <w:rsid w:val="00732BD2"/>
    <w:rsid w:val="00733AA3"/>
    <w:rsid w:val="00733D68"/>
    <w:rsid w:val="00733E60"/>
    <w:rsid w:val="00734BF0"/>
    <w:rsid w:val="00734F8E"/>
    <w:rsid w:val="007358D4"/>
    <w:rsid w:val="00737B33"/>
    <w:rsid w:val="00737D3F"/>
    <w:rsid w:val="0074025C"/>
    <w:rsid w:val="007402F5"/>
    <w:rsid w:val="00742808"/>
    <w:rsid w:val="0074297D"/>
    <w:rsid w:val="00743951"/>
    <w:rsid w:val="0074407F"/>
    <w:rsid w:val="007453C6"/>
    <w:rsid w:val="00745C40"/>
    <w:rsid w:val="00746653"/>
    <w:rsid w:val="00750CFD"/>
    <w:rsid w:val="00753442"/>
    <w:rsid w:val="00754000"/>
    <w:rsid w:val="0075586C"/>
    <w:rsid w:val="007561EF"/>
    <w:rsid w:val="0075646B"/>
    <w:rsid w:val="00757C0C"/>
    <w:rsid w:val="00757FED"/>
    <w:rsid w:val="00760447"/>
    <w:rsid w:val="00760C76"/>
    <w:rsid w:val="0076115B"/>
    <w:rsid w:val="007623A6"/>
    <w:rsid w:val="00763124"/>
    <w:rsid w:val="007644D4"/>
    <w:rsid w:val="00767933"/>
    <w:rsid w:val="00767B57"/>
    <w:rsid w:val="00767E50"/>
    <w:rsid w:val="00771BDB"/>
    <w:rsid w:val="00774DD6"/>
    <w:rsid w:val="007806EF"/>
    <w:rsid w:val="007830DD"/>
    <w:rsid w:val="00783F3B"/>
    <w:rsid w:val="0078437C"/>
    <w:rsid w:val="00784AE6"/>
    <w:rsid w:val="00784CA4"/>
    <w:rsid w:val="00784D51"/>
    <w:rsid w:val="0078521D"/>
    <w:rsid w:val="00787769"/>
    <w:rsid w:val="00794040"/>
    <w:rsid w:val="0079404A"/>
    <w:rsid w:val="0079507F"/>
    <w:rsid w:val="007957AB"/>
    <w:rsid w:val="00797162"/>
    <w:rsid w:val="007A030A"/>
    <w:rsid w:val="007A0608"/>
    <w:rsid w:val="007A2172"/>
    <w:rsid w:val="007A2E2A"/>
    <w:rsid w:val="007A31E6"/>
    <w:rsid w:val="007A3201"/>
    <w:rsid w:val="007A4951"/>
    <w:rsid w:val="007A69E3"/>
    <w:rsid w:val="007A7D92"/>
    <w:rsid w:val="007B1D8C"/>
    <w:rsid w:val="007B2424"/>
    <w:rsid w:val="007B39B5"/>
    <w:rsid w:val="007B4439"/>
    <w:rsid w:val="007B44B7"/>
    <w:rsid w:val="007B76CF"/>
    <w:rsid w:val="007C06DB"/>
    <w:rsid w:val="007C07F2"/>
    <w:rsid w:val="007C442F"/>
    <w:rsid w:val="007C7F1C"/>
    <w:rsid w:val="007D19D1"/>
    <w:rsid w:val="007D26D0"/>
    <w:rsid w:val="007D2F6E"/>
    <w:rsid w:val="007D31FD"/>
    <w:rsid w:val="007D31FF"/>
    <w:rsid w:val="007D4096"/>
    <w:rsid w:val="007D502C"/>
    <w:rsid w:val="007D5FE6"/>
    <w:rsid w:val="007D71B9"/>
    <w:rsid w:val="007D79F3"/>
    <w:rsid w:val="007E03DA"/>
    <w:rsid w:val="007E21C1"/>
    <w:rsid w:val="007E2DEE"/>
    <w:rsid w:val="007E37B6"/>
    <w:rsid w:val="007E7CC7"/>
    <w:rsid w:val="007F0892"/>
    <w:rsid w:val="007F12B7"/>
    <w:rsid w:val="007F1AEC"/>
    <w:rsid w:val="007F1EC8"/>
    <w:rsid w:val="007F25A9"/>
    <w:rsid w:val="007F33A7"/>
    <w:rsid w:val="007F40D3"/>
    <w:rsid w:val="007F539D"/>
    <w:rsid w:val="007F5717"/>
    <w:rsid w:val="007F7A90"/>
    <w:rsid w:val="00800944"/>
    <w:rsid w:val="00801036"/>
    <w:rsid w:val="00801575"/>
    <w:rsid w:val="00804AE3"/>
    <w:rsid w:val="00804F81"/>
    <w:rsid w:val="00807AA6"/>
    <w:rsid w:val="00810FF6"/>
    <w:rsid w:val="0081368C"/>
    <w:rsid w:val="00813D5B"/>
    <w:rsid w:val="008147EC"/>
    <w:rsid w:val="00815D71"/>
    <w:rsid w:val="00816200"/>
    <w:rsid w:val="008164DC"/>
    <w:rsid w:val="00820836"/>
    <w:rsid w:val="008231BA"/>
    <w:rsid w:val="00824E2B"/>
    <w:rsid w:val="00826980"/>
    <w:rsid w:val="00826FD8"/>
    <w:rsid w:val="008306DE"/>
    <w:rsid w:val="008313B2"/>
    <w:rsid w:val="00832B98"/>
    <w:rsid w:val="00835309"/>
    <w:rsid w:val="00837F0A"/>
    <w:rsid w:val="00840112"/>
    <w:rsid w:val="00840199"/>
    <w:rsid w:val="008405A7"/>
    <w:rsid w:val="00842423"/>
    <w:rsid w:val="008437D3"/>
    <w:rsid w:val="00843DEE"/>
    <w:rsid w:val="00844269"/>
    <w:rsid w:val="00845419"/>
    <w:rsid w:val="00846055"/>
    <w:rsid w:val="00847405"/>
    <w:rsid w:val="00850132"/>
    <w:rsid w:val="008524BE"/>
    <w:rsid w:val="00853B1B"/>
    <w:rsid w:val="00855A00"/>
    <w:rsid w:val="00856495"/>
    <w:rsid w:val="0085678F"/>
    <w:rsid w:val="008567C2"/>
    <w:rsid w:val="0085721D"/>
    <w:rsid w:val="008577D4"/>
    <w:rsid w:val="0086059E"/>
    <w:rsid w:val="008608D1"/>
    <w:rsid w:val="00860DDC"/>
    <w:rsid w:val="00861729"/>
    <w:rsid w:val="00862065"/>
    <w:rsid w:val="00863DB6"/>
    <w:rsid w:val="00863FD0"/>
    <w:rsid w:val="008644A7"/>
    <w:rsid w:val="008657F9"/>
    <w:rsid w:val="00865B14"/>
    <w:rsid w:val="00866479"/>
    <w:rsid w:val="008667CF"/>
    <w:rsid w:val="00867D4D"/>
    <w:rsid w:val="00871EF8"/>
    <w:rsid w:val="008720D8"/>
    <w:rsid w:val="0087367F"/>
    <w:rsid w:val="00873A06"/>
    <w:rsid w:val="00874D70"/>
    <w:rsid w:val="00875555"/>
    <w:rsid w:val="00880915"/>
    <w:rsid w:val="00883E6C"/>
    <w:rsid w:val="00885AD4"/>
    <w:rsid w:val="00885F5A"/>
    <w:rsid w:val="008862B5"/>
    <w:rsid w:val="0088721E"/>
    <w:rsid w:val="0088740B"/>
    <w:rsid w:val="00887544"/>
    <w:rsid w:val="0089060D"/>
    <w:rsid w:val="008908F5"/>
    <w:rsid w:val="00890A4C"/>
    <w:rsid w:val="00890DDA"/>
    <w:rsid w:val="00891133"/>
    <w:rsid w:val="00891513"/>
    <w:rsid w:val="00891914"/>
    <w:rsid w:val="008945FD"/>
    <w:rsid w:val="00894925"/>
    <w:rsid w:val="008951AC"/>
    <w:rsid w:val="008961B7"/>
    <w:rsid w:val="0089654C"/>
    <w:rsid w:val="0089677E"/>
    <w:rsid w:val="008978CC"/>
    <w:rsid w:val="008A1673"/>
    <w:rsid w:val="008A1F71"/>
    <w:rsid w:val="008A226B"/>
    <w:rsid w:val="008A694E"/>
    <w:rsid w:val="008B012F"/>
    <w:rsid w:val="008B128F"/>
    <w:rsid w:val="008B354A"/>
    <w:rsid w:val="008B5987"/>
    <w:rsid w:val="008B6B10"/>
    <w:rsid w:val="008B7800"/>
    <w:rsid w:val="008C2E65"/>
    <w:rsid w:val="008C34DE"/>
    <w:rsid w:val="008C37C8"/>
    <w:rsid w:val="008C4DFD"/>
    <w:rsid w:val="008C5BD8"/>
    <w:rsid w:val="008C5C8C"/>
    <w:rsid w:val="008C68A8"/>
    <w:rsid w:val="008D0BF5"/>
    <w:rsid w:val="008D114B"/>
    <w:rsid w:val="008D34FE"/>
    <w:rsid w:val="008D4E68"/>
    <w:rsid w:val="008D52D6"/>
    <w:rsid w:val="008D6987"/>
    <w:rsid w:val="008D7DDB"/>
    <w:rsid w:val="008E08F8"/>
    <w:rsid w:val="008E1F19"/>
    <w:rsid w:val="008E5912"/>
    <w:rsid w:val="008E7169"/>
    <w:rsid w:val="008F075C"/>
    <w:rsid w:val="008F0AF1"/>
    <w:rsid w:val="008F0B32"/>
    <w:rsid w:val="008F11E2"/>
    <w:rsid w:val="008F19A5"/>
    <w:rsid w:val="008F3660"/>
    <w:rsid w:val="008F3F09"/>
    <w:rsid w:val="008F436E"/>
    <w:rsid w:val="008F7B87"/>
    <w:rsid w:val="00901F97"/>
    <w:rsid w:val="009025A6"/>
    <w:rsid w:val="009027DA"/>
    <w:rsid w:val="00902C55"/>
    <w:rsid w:val="00904F5A"/>
    <w:rsid w:val="00906098"/>
    <w:rsid w:val="00907206"/>
    <w:rsid w:val="00907611"/>
    <w:rsid w:val="00910BF0"/>
    <w:rsid w:val="00911C69"/>
    <w:rsid w:val="009121CD"/>
    <w:rsid w:val="009129DD"/>
    <w:rsid w:val="00912DEC"/>
    <w:rsid w:val="0091364C"/>
    <w:rsid w:val="009149A9"/>
    <w:rsid w:val="009152A2"/>
    <w:rsid w:val="00915D80"/>
    <w:rsid w:val="0092040D"/>
    <w:rsid w:val="009205BD"/>
    <w:rsid w:val="00924E28"/>
    <w:rsid w:val="00925384"/>
    <w:rsid w:val="009258F5"/>
    <w:rsid w:val="00925EE3"/>
    <w:rsid w:val="00926ACD"/>
    <w:rsid w:val="00926F34"/>
    <w:rsid w:val="009301F1"/>
    <w:rsid w:val="00930D8F"/>
    <w:rsid w:val="00933311"/>
    <w:rsid w:val="00933331"/>
    <w:rsid w:val="00934A69"/>
    <w:rsid w:val="00935197"/>
    <w:rsid w:val="009356A4"/>
    <w:rsid w:val="00936722"/>
    <w:rsid w:val="009376A3"/>
    <w:rsid w:val="00937A0D"/>
    <w:rsid w:val="009405F0"/>
    <w:rsid w:val="00940F46"/>
    <w:rsid w:val="00943BBF"/>
    <w:rsid w:val="009451C2"/>
    <w:rsid w:val="009468FC"/>
    <w:rsid w:val="00946B49"/>
    <w:rsid w:val="0095018E"/>
    <w:rsid w:val="00950C28"/>
    <w:rsid w:val="009528ED"/>
    <w:rsid w:val="00952920"/>
    <w:rsid w:val="00954212"/>
    <w:rsid w:val="009546D8"/>
    <w:rsid w:val="009548FE"/>
    <w:rsid w:val="00954B36"/>
    <w:rsid w:val="009558F0"/>
    <w:rsid w:val="0096249F"/>
    <w:rsid w:val="00962BA0"/>
    <w:rsid w:val="009632D7"/>
    <w:rsid w:val="00963962"/>
    <w:rsid w:val="00964509"/>
    <w:rsid w:val="00965A62"/>
    <w:rsid w:val="00965A8D"/>
    <w:rsid w:val="00966C54"/>
    <w:rsid w:val="00966FB7"/>
    <w:rsid w:val="0096753A"/>
    <w:rsid w:val="009678FD"/>
    <w:rsid w:val="0097123A"/>
    <w:rsid w:val="00972789"/>
    <w:rsid w:val="00972CB3"/>
    <w:rsid w:val="0097416F"/>
    <w:rsid w:val="0097541B"/>
    <w:rsid w:val="00975828"/>
    <w:rsid w:val="00975DA4"/>
    <w:rsid w:val="0097649D"/>
    <w:rsid w:val="00977987"/>
    <w:rsid w:val="00983B47"/>
    <w:rsid w:val="00984598"/>
    <w:rsid w:val="00984F86"/>
    <w:rsid w:val="009853EE"/>
    <w:rsid w:val="00987D47"/>
    <w:rsid w:val="00990D29"/>
    <w:rsid w:val="009916C7"/>
    <w:rsid w:val="00991914"/>
    <w:rsid w:val="00992DFF"/>
    <w:rsid w:val="0099428E"/>
    <w:rsid w:val="009944E0"/>
    <w:rsid w:val="00994E8C"/>
    <w:rsid w:val="0099567E"/>
    <w:rsid w:val="00995CE5"/>
    <w:rsid w:val="009969FD"/>
    <w:rsid w:val="009A0221"/>
    <w:rsid w:val="009A1C67"/>
    <w:rsid w:val="009A23E0"/>
    <w:rsid w:val="009A32F5"/>
    <w:rsid w:val="009A42A8"/>
    <w:rsid w:val="009A4397"/>
    <w:rsid w:val="009A5462"/>
    <w:rsid w:val="009A58EC"/>
    <w:rsid w:val="009A59B0"/>
    <w:rsid w:val="009A5BBB"/>
    <w:rsid w:val="009A6073"/>
    <w:rsid w:val="009A70D7"/>
    <w:rsid w:val="009A7DF7"/>
    <w:rsid w:val="009B09C6"/>
    <w:rsid w:val="009B0A53"/>
    <w:rsid w:val="009B1ACA"/>
    <w:rsid w:val="009B39EB"/>
    <w:rsid w:val="009B4A2A"/>
    <w:rsid w:val="009B5B0A"/>
    <w:rsid w:val="009B717A"/>
    <w:rsid w:val="009C0A02"/>
    <w:rsid w:val="009C0FC8"/>
    <w:rsid w:val="009C149E"/>
    <w:rsid w:val="009C2256"/>
    <w:rsid w:val="009C3479"/>
    <w:rsid w:val="009C3782"/>
    <w:rsid w:val="009C3E2A"/>
    <w:rsid w:val="009C4B02"/>
    <w:rsid w:val="009C53AF"/>
    <w:rsid w:val="009C5A69"/>
    <w:rsid w:val="009D0BFE"/>
    <w:rsid w:val="009D182C"/>
    <w:rsid w:val="009D41CA"/>
    <w:rsid w:val="009D46BE"/>
    <w:rsid w:val="009D4ED5"/>
    <w:rsid w:val="009D5001"/>
    <w:rsid w:val="009D5869"/>
    <w:rsid w:val="009D6688"/>
    <w:rsid w:val="009E26B9"/>
    <w:rsid w:val="009E3502"/>
    <w:rsid w:val="009E3B58"/>
    <w:rsid w:val="009E40DD"/>
    <w:rsid w:val="009E45C9"/>
    <w:rsid w:val="009E56B5"/>
    <w:rsid w:val="009E56F4"/>
    <w:rsid w:val="009E662A"/>
    <w:rsid w:val="009E6BFC"/>
    <w:rsid w:val="009E74C5"/>
    <w:rsid w:val="009E776F"/>
    <w:rsid w:val="009F0DB1"/>
    <w:rsid w:val="009F1936"/>
    <w:rsid w:val="009F2040"/>
    <w:rsid w:val="009F2104"/>
    <w:rsid w:val="009F2584"/>
    <w:rsid w:val="009F278F"/>
    <w:rsid w:val="009F2800"/>
    <w:rsid w:val="009F412B"/>
    <w:rsid w:val="009F4407"/>
    <w:rsid w:val="009F47A2"/>
    <w:rsid w:val="009F6808"/>
    <w:rsid w:val="009F6A0B"/>
    <w:rsid w:val="009F7BBD"/>
    <w:rsid w:val="009F7BF9"/>
    <w:rsid w:val="009F7DF3"/>
    <w:rsid w:val="00A00951"/>
    <w:rsid w:val="00A009A2"/>
    <w:rsid w:val="00A02E8A"/>
    <w:rsid w:val="00A03446"/>
    <w:rsid w:val="00A03AF5"/>
    <w:rsid w:val="00A03BF8"/>
    <w:rsid w:val="00A049F9"/>
    <w:rsid w:val="00A051C8"/>
    <w:rsid w:val="00A061F5"/>
    <w:rsid w:val="00A06B44"/>
    <w:rsid w:val="00A10960"/>
    <w:rsid w:val="00A141B7"/>
    <w:rsid w:val="00A14D5E"/>
    <w:rsid w:val="00A17418"/>
    <w:rsid w:val="00A2594E"/>
    <w:rsid w:val="00A26BE5"/>
    <w:rsid w:val="00A26C1C"/>
    <w:rsid w:val="00A30F8F"/>
    <w:rsid w:val="00A323CC"/>
    <w:rsid w:val="00A32C0E"/>
    <w:rsid w:val="00A32EFD"/>
    <w:rsid w:val="00A33522"/>
    <w:rsid w:val="00A3358B"/>
    <w:rsid w:val="00A34916"/>
    <w:rsid w:val="00A34F62"/>
    <w:rsid w:val="00A35B95"/>
    <w:rsid w:val="00A35F40"/>
    <w:rsid w:val="00A360FE"/>
    <w:rsid w:val="00A363CB"/>
    <w:rsid w:val="00A37E06"/>
    <w:rsid w:val="00A37FA0"/>
    <w:rsid w:val="00A4131F"/>
    <w:rsid w:val="00A44252"/>
    <w:rsid w:val="00A4766A"/>
    <w:rsid w:val="00A50F48"/>
    <w:rsid w:val="00A527BC"/>
    <w:rsid w:val="00A52E90"/>
    <w:rsid w:val="00A53099"/>
    <w:rsid w:val="00A557C9"/>
    <w:rsid w:val="00A562C0"/>
    <w:rsid w:val="00A60D25"/>
    <w:rsid w:val="00A60FBC"/>
    <w:rsid w:val="00A61370"/>
    <w:rsid w:val="00A61F5D"/>
    <w:rsid w:val="00A6310F"/>
    <w:rsid w:val="00A636CF"/>
    <w:rsid w:val="00A6575E"/>
    <w:rsid w:val="00A65E12"/>
    <w:rsid w:val="00A66FC6"/>
    <w:rsid w:val="00A67467"/>
    <w:rsid w:val="00A712E2"/>
    <w:rsid w:val="00A722B9"/>
    <w:rsid w:val="00A73997"/>
    <w:rsid w:val="00A74655"/>
    <w:rsid w:val="00A74B2E"/>
    <w:rsid w:val="00A758F4"/>
    <w:rsid w:val="00A75E9A"/>
    <w:rsid w:val="00A80C48"/>
    <w:rsid w:val="00A8122A"/>
    <w:rsid w:val="00A81916"/>
    <w:rsid w:val="00A82897"/>
    <w:rsid w:val="00A8399D"/>
    <w:rsid w:val="00A86084"/>
    <w:rsid w:val="00A919AE"/>
    <w:rsid w:val="00A9310B"/>
    <w:rsid w:val="00A9411B"/>
    <w:rsid w:val="00A94213"/>
    <w:rsid w:val="00A94A12"/>
    <w:rsid w:val="00A96FC8"/>
    <w:rsid w:val="00A975AF"/>
    <w:rsid w:val="00AA0467"/>
    <w:rsid w:val="00AA0A0E"/>
    <w:rsid w:val="00AA19AA"/>
    <w:rsid w:val="00AA2110"/>
    <w:rsid w:val="00AA236A"/>
    <w:rsid w:val="00AA2E8C"/>
    <w:rsid w:val="00AA2EB8"/>
    <w:rsid w:val="00AA306A"/>
    <w:rsid w:val="00AA33E7"/>
    <w:rsid w:val="00AA347C"/>
    <w:rsid w:val="00AA4AFD"/>
    <w:rsid w:val="00AA51FF"/>
    <w:rsid w:val="00AA66A4"/>
    <w:rsid w:val="00AA6CAA"/>
    <w:rsid w:val="00AA7C31"/>
    <w:rsid w:val="00AB03EF"/>
    <w:rsid w:val="00AB0B01"/>
    <w:rsid w:val="00AB3041"/>
    <w:rsid w:val="00AB3D2E"/>
    <w:rsid w:val="00AB4415"/>
    <w:rsid w:val="00AB6C79"/>
    <w:rsid w:val="00AC01EA"/>
    <w:rsid w:val="00AC09DC"/>
    <w:rsid w:val="00AC298F"/>
    <w:rsid w:val="00AC32E6"/>
    <w:rsid w:val="00AC5D36"/>
    <w:rsid w:val="00AC677F"/>
    <w:rsid w:val="00AC6D00"/>
    <w:rsid w:val="00AD067A"/>
    <w:rsid w:val="00AD50CA"/>
    <w:rsid w:val="00AD56A4"/>
    <w:rsid w:val="00AD5870"/>
    <w:rsid w:val="00AD5C4D"/>
    <w:rsid w:val="00AE1BD0"/>
    <w:rsid w:val="00AE317D"/>
    <w:rsid w:val="00AE35E2"/>
    <w:rsid w:val="00AE3BA1"/>
    <w:rsid w:val="00AE4B00"/>
    <w:rsid w:val="00AE5250"/>
    <w:rsid w:val="00AE5259"/>
    <w:rsid w:val="00AE5C8E"/>
    <w:rsid w:val="00AE6B15"/>
    <w:rsid w:val="00AE6FD6"/>
    <w:rsid w:val="00AE7253"/>
    <w:rsid w:val="00AF0B6C"/>
    <w:rsid w:val="00AF2763"/>
    <w:rsid w:val="00AF2881"/>
    <w:rsid w:val="00AF384E"/>
    <w:rsid w:val="00AF5647"/>
    <w:rsid w:val="00B029B7"/>
    <w:rsid w:val="00B0328B"/>
    <w:rsid w:val="00B03E26"/>
    <w:rsid w:val="00B04199"/>
    <w:rsid w:val="00B0583F"/>
    <w:rsid w:val="00B05932"/>
    <w:rsid w:val="00B065D2"/>
    <w:rsid w:val="00B0669C"/>
    <w:rsid w:val="00B11780"/>
    <w:rsid w:val="00B11E69"/>
    <w:rsid w:val="00B125E0"/>
    <w:rsid w:val="00B12E1D"/>
    <w:rsid w:val="00B134AB"/>
    <w:rsid w:val="00B14377"/>
    <w:rsid w:val="00B143ED"/>
    <w:rsid w:val="00B14C3D"/>
    <w:rsid w:val="00B15AE4"/>
    <w:rsid w:val="00B20054"/>
    <w:rsid w:val="00B206DA"/>
    <w:rsid w:val="00B24DAC"/>
    <w:rsid w:val="00B25C02"/>
    <w:rsid w:val="00B275F1"/>
    <w:rsid w:val="00B2764F"/>
    <w:rsid w:val="00B308A3"/>
    <w:rsid w:val="00B31F02"/>
    <w:rsid w:val="00B32E6F"/>
    <w:rsid w:val="00B33002"/>
    <w:rsid w:val="00B33815"/>
    <w:rsid w:val="00B342C1"/>
    <w:rsid w:val="00B35E7F"/>
    <w:rsid w:val="00B36561"/>
    <w:rsid w:val="00B400EA"/>
    <w:rsid w:val="00B40134"/>
    <w:rsid w:val="00B40A75"/>
    <w:rsid w:val="00B40D41"/>
    <w:rsid w:val="00B41904"/>
    <w:rsid w:val="00B42C54"/>
    <w:rsid w:val="00B434EE"/>
    <w:rsid w:val="00B46129"/>
    <w:rsid w:val="00B46A8B"/>
    <w:rsid w:val="00B46ADD"/>
    <w:rsid w:val="00B46C85"/>
    <w:rsid w:val="00B46CD8"/>
    <w:rsid w:val="00B47575"/>
    <w:rsid w:val="00B51253"/>
    <w:rsid w:val="00B535E8"/>
    <w:rsid w:val="00B54141"/>
    <w:rsid w:val="00B547C8"/>
    <w:rsid w:val="00B55839"/>
    <w:rsid w:val="00B57631"/>
    <w:rsid w:val="00B57C55"/>
    <w:rsid w:val="00B6146A"/>
    <w:rsid w:val="00B6194A"/>
    <w:rsid w:val="00B630CF"/>
    <w:rsid w:val="00B65358"/>
    <w:rsid w:val="00B65ACE"/>
    <w:rsid w:val="00B65C97"/>
    <w:rsid w:val="00B65EC2"/>
    <w:rsid w:val="00B66FE1"/>
    <w:rsid w:val="00B7007B"/>
    <w:rsid w:val="00B70732"/>
    <w:rsid w:val="00B71476"/>
    <w:rsid w:val="00B728F3"/>
    <w:rsid w:val="00B73982"/>
    <w:rsid w:val="00B73ECE"/>
    <w:rsid w:val="00B7485F"/>
    <w:rsid w:val="00B764F7"/>
    <w:rsid w:val="00B77029"/>
    <w:rsid w:val="00B77183"/>
    <w:rsid w:val="00B77648"/>
    <w:rsid w:val="00B80241"/>
    <w:rsid w:val="00B817E0"/>
    <w:rsid w:val="00B83416"/>
    <w:rsid w:val="00B83455"/>
    <w:rsid w:val="00B83578"/>
    <w:rsid w:val="00B843CD"/>
    <w:rsid w:val="00B84707"/>
    <w:rsid w:val="00B84BD5"/>
    <w:rsid w:val="00B85057"/>
    <w:rsid w:val="00B86B05"/>
    <w:rsid w:val="00B86B09"/>
    <w:rsid w:val="00B86B7A"/>
    <w:rsid w:val="00B87698"/>
    <w:rsid w:val="00B876EF"/>
    <w:rsid w:val="00B92014"/>
    <w:rsid w:val="00B93302"/>
    <w:rsid w:val="00B93713"/>
    <w:rsid w:val="00B94616"/>
    <w:rsid w:val="00B94E89"/>
    <w:rsid w:val="00B96979"/>
    <w:rsid w:val="00B96A9D"/>
    <w:rsid w:val="00B973C6"/>
    <w:rsid w:val="00BA1748"/>
    <w:rsid w:val="00BA19EC"/>
    <w:rsid w:val="00BA2225"/>
    <w:rsid w:val="00BA39C4"/>
    <w:rsid w:val="00BA3BB4"/>
    <w:rsid w:val="00BA474B"/>
    <w:rsid w:val="00BA7879"/>
    <w:rsid w:val="00BB3055"/>
    <w:rsid w:val="00BB3AEE"/>
    <w:rsid w:val="00BB417F"/>
    <w:rsid w:val="00BB444A"/>
    <w:rsid w:val="00BB6334"/>
    <w:rsid w:val="00BB64EA"/>
    <w:rsid w:val="00BB6C2F"/>
    <w:rsid w:val="00BC1E7E"/>
    <w:rsid w:val="00BC2AA4"/>
    <w:rsid w:val="00BC2C37"/>
    <w:rsid w:val="00BC375A"/>
    <w:rsid w:val="00BC4B4D"/>
    <w:rsid w:val="00BC55A1"/>
    <w:rsid w:val="00BC7D96"/>
    <w:rsid w:val="00BD2099"/>
    <w:rsid w:val="00BD25BF"/>
    <w:rsid w:val="00BD32FA"/>
    <w:rsid w:val="00BD5B01"/>
    <w:rsid w:val="00BD79D8"/>
    <w:rsid w:val="00BE0054"/>
    <w:rsid w:val="00BE0F2C"/>
    <w:rsid w:val="00BE0F82"/>
    <w:rsid w:val="00BE309E"/>
    <w:rsid w:val="00BE312A"/>
    <w:rsid w:val="00BE4694"/>
    <w:rsid w:val="00BE51FD"/>
    <w:rsid w:val="00BE5CD8"/>
    <w:rsid w:val="00BE5D49"/>
    <w:rsid w:val="00BE6642"/>
    <w:rsid w:val="00BE73F0"/>
    <w:rsid w:val="00BF00E3"/>
    <w:rsid w:val="00BF0778"/>
    <w:rsid w:val="00BF13A5"/>
    <w:rsid w:val="00BF16D5"/>
    <w:rsid w:val="00BF2689"/>
    <w:rsid w:val="00BF3213"/>
    <w:rsid w:val="00BF3DEE"/>
    <w:rsid w:val="00BF44BF"/>
    <w:rsid w:val="00BF6DF7"/>
    <w:rsid w:val="00BF760E"/>
    <w:rsid w:val="00BF7F71"/>
    <w:rsid w:val="00C00872"/>
    <w:rsid w:val="00C00F07"/>
    <w:rsid w:val="00C02817"/>
    <w:rsid w:val="00C02826"/>
    <w:rsid w:val="00C029DF"/>
    <w:rsid w:val="00C04040"/>
    <w:rsid w:val="00C04198"/>
    <w:rsid w:val="00C0489E"/>
    <w:rsid w:val="00C04E48"/>
    <w:rsid w:val="00C055C3"/>
    <w:rsid w:val="00C066DE"/>
    <w:rsid w:val="00C0725D"/>
    <w:rsid w:val="00C0742D"/>
    <w:rsid w:val="00C116D2"/>
    <w:rsid w:val="00C126FA"/>
    <w:rsid w:val="00C12952"/>
    <w:rsid w:val="00C14230"/>
    <w:rsid w:val="00C149E5"/>
    <w:rsid w:val="00C15A1F"/>
    <w:rsid w:val="00C167AC"/>
    <w:rsid w:val="00C16B96"/>
    <w:rsid w:val="00C17BF6"/>
    <w:rsid w:val="00C20E2F"/>
    <w:rsid w:val="00C21346"/>
    <w:rsid w:val="00C22776"/>
    <w:rsid w:val="00C2476B"/>
    <w:rsid w:val="00C250DA"/>
    <w:rsid w:val="00C25E5D"/>
    <w:rsid w:val="00C3000A"/>
    <w:rsid w:val="00C31CCC"/>
    <w:rsid w:val="00C32997"/>
    <w:rsid w:val="00C32FDE"/>
    <w:rsid w:val="00C335EC"/>
    <w:rsid w:val="00C34C50"/>
    <w:rsid w:val="00C35819"/>
    <w:rsid w:val="00C374B1"/>
    <w:rsid w:val="00C37A1C"/>
    <w:rsid w:val="00C42060"/>
    <w:rsid w:val="00C45049"/>
    <w:rsid w:val="00C45F57"/>
    <w:rsid w:val="00C46500"/>
    <w:rsid w:val="00C47957"/>
    <w:rsid w:val="00C47B96"/>
    <w:rsid w:val="00C50250"/>
    <w:rsid w:val="00C51A8A"/>
    <w:rsid w:val="00C51EDF"/>
    <w:rsid w:val="00C52165"/>
    <w:rsid w:val="00C5250C"/>
    <w:rsid w:val="00C529FC"/>
    <w:rsid w:val="00C56001"/>
    <w:rsid w:val="00C562D9"/>
    <w:rsid w:val="00C57D0B"/>
    <w:rsid w:val="00C61002"/>
    <w:rsid w:val="00C62CB0"/>
    <w:rsid w:val="00C63D24"/>
    <w:rsid w:val="00C640CD"/>
    <w:rsid w:val="00C65CD9"/>
    <w:rsid w:val="00C65E89"/>
    <w:rsid w:val="00C671F1"/>
    <w:rsid w:val="00C700AE"/>
    <w:rsid w:val="00C712D1"/>
    <w:rsid w:val="00C72738"/>
    <w:rsid w:val="00C729BA"/>
    <w:rsid w:val="00C72A14"/>
    <w:rsid w:val="00C72DC4"/>
    <w:rsid w:val="00C72E5F"/>
    <w:rsid w:val="00C73520"/>
    <w:rsid w:val="00C73CA6"/>
    <w:rsid w:val="00C8145D"/>
    <w:rsid w:val="00C8332F"/>
    <w:rsid w:val="00C8592B"/>
    <w:rsid w:val="00C8660A"/>
    <w:rsid w:val="00C91DD7"/>
    <w:rsid w:val="00C92F61"/>
    <w:rsid w:val="00C96F31"/>
    <w:rsid w:val="00C978AA"/>
    <w:rsid w:val="00CA2576"/>
    <w:rsid w:val="00CA279F"/>
    <w:rsid w:val="00CA49C2"/>
    <w:rsid w:val="00CA50BF"/>
    <w:rsid w:val="00CA569B"/>
    <w:rsid w:val="00CA652B"/>
    <w:rsid w:val="00CA6FFD"/>
    <w:rsid w:val="00CA7199"/>
    <w:rsid w:val="00CB120F"/>
    <w:rsid w:val="00CB3BE0"/>
    <w:rsid w:val="00CB407E"/>
    <w:rsid w:val="00CB5FD7"/>
    <w:rsid w:val="00CB68AF"/>
    <w:rsid w:val="00CB74C4"/>
    <w:rsid w:val="00CB7BB9"/>
    <w:rsid w:val="00CB7F74"/>
    <w:rsid w:val="00CC14C1"/>
    <w:rsid w:val="00CC157B"/>
    <w:rsid w:val="00CC25EB"/>
    <w:rsid w:val="00CC4269"/>
    <w:rsid w:val="00CC4885"/>
    <w:rsid w:val="00CC5A42"/>
    <w:rsid w:val="00CC6ED1"/>
    <w:rsid w:val="00CC7CE2"/>
    <w:rsid w:val="00CD05FD"/>
    <w:rsid w:val="00CD12D7"/>
    <w:rsid w:val="00CD160A"/>
    <w:rsid w:val="00CD1819"/>
    <w:rsid w:val="00CD1B8D"/>
    <w:rsid w:val="00CD2730"/>
    <w:rsid w:val="00CD2896"/>
    <w:rsid w:val="00CD44A9"/>
    <w:rsid w:val="00CD57D3"/>
    <w:rsid w:val="00CD6149"/>
    <w:rsid w:val="00CD69B2"/>
    <w:rsid w:val="00CD6FD1"/>
    <w:rsid w:val="00CD7D98"/>
    <w:rsid w:val="00CE3598"/>
    <w:rsid w:val="00CE4865"/>
    <w:rsid w:val="00CE5B3A"/>
    <w:rsid w:val="00CE6A45"/>
    <w:rsid w:val="00CE73E6"/>
    <w:rsid w:val="00CE79BB"/>
    <w:rsid w:val="00CF0A0F"/>
    <w:rsid w:val="00CF23E3"/>
    <w:rsid w:val="00CF2968"/>
    <w:rsid w:val="00CF328E"/>
    <w:rsid w:val="00CF605E"/>
    <w:rsid w:val="00CF69BF"/>
    <w:rsid w:val="00CF7DBD"/>
    <w:rsid w:val="00D01398"/>
    <w:rsid w:val="00D01AA3"/>
    <w:rsid w:val="00D02C95"/>
    <w:rsid w:val="00D032D8"/>
    <w:rsid w:val="00D03688"/>
    <w:rsid w:val="00D067CA"/>
    <w:rsid w:val="00D06DA1"/>
    <w:rsid w:val="00D14E9B"/>
    <w:rsid w:val="00D1631D"/>
    <w:rsid w:val="00D17DC1"/>
    <w:rsid w:val="00D20263"/>
    <w:rsid w:val="00D21F09"/>
    <w:rsid w:val="00D22BD0"/>
    <w:rsid w:val="00D22EDD"/>
    <w:rsid w:val="00D2454F"/>
    <w:rsid w:val="00D30C94"/>
    <w:rsid w:val="00D3146C"/>
    <w:rsid w:val="00D31AD2"/>
    <w:rsid w:val="00D32503"/>
    <w:rsid w:val="00D32A20"/>
    <w:rsid w:val="00D32F52"/>
    <w:rsid w:val="00D34B0E"/>
    <w:rsid w:val="00D363F6"/>
    <w:rsid w:val="00D36D1E"/>
    <w:rsid w:val="00D37296"/>
    <w:rsid w:val="00D37B8E"/>
    <w:rsid w:val="00D4118C"/>
    <w:rsid w:val="00D43760"/>
    <w:rsid w:val="00D43C1D"/>
    <w:rsid w:val="00D43D85"/>
    <w:rsid w:val="00D44FF9"/>
    <w:rsid w:val="00D4654C"/>
    <w:rsid w:val="00D46CDB"/>
    <w:rsid w:val="00D46DF1"/>
    <w:rsid w:val="00D50964"/>
    <w:rsid w:val="00D50FE7"/>
    <w:rsid w:val="00D51C9A"/>
    <w:rsid w:val="00D5414D"/>
    <w:rsid w:val="00D541DC"/>
    <w:rsid w:val="00D55412"/>
    <w:rsid w:val="00D56AFD"/>
    <w:rsid w:val="00D571D9"/>
    <w:rsid w:val="00D57F23"/>
    <w:rsid w:val="00D6227C"/>
    <w:rsid w:val="00D62645"/>
    <w:rsid w:val="00D631BC"/>
    <w:rsid w:val="00D6321D"/>
    <w:rsid w:val="00D63C60"/>
    <w:rsid w:val="00D64231"/>
    <w:rsid w:val="00D651DD"/>
    <w:rsid w:val="00D65269"/>
    <w:rsid w:val="00D664BD"/>
    <w:rsid w:val="00D66D85"/>
    <w:rsid w:val="00D70A58"/>
    <w:rsid w:val="00D70BC5"/>
    <w:rsid w:val="00D72099"/>
    <w:rsid w:val="00D741C4"/>
    <w:rsid w:val="00D749BA"/>
    <w:rsid w:val="00D75151"/>
    <w:rsid w:val="00D7649C"/>
    <w:rsid w:val="00D76DE3"/>
    <w:rsid w:val="00D77666"/>
    <w:rsid w:val="00D77691"/>
    <w:rsid w:val="00D810E8"/>
    <w:rsid w:val="00D82AD9"/>
    <w:rsid w:val="00D83165"/>
    <w:rsid w:val="00D8376F"/>
    <w:rsid w:val="00D86C21"/>
    <w:rsid w:val="00D87E6F"/>
    <w:rsid w:val="00D9082F"/>
    <w:rsid w:val="00D9279B"/>
    <w:rsid w:val="00D94630"/>
    <w:rsid w:val="00D94E6E"/>
    <w:rsid w:val="00D952BE"/>
    <w:rsid w:val="00D96227"/>
    <w:rsid w:val="00D96679"/>
    <w:rsid w:val="00D97347"/>
    <w:rsid w:val="00DA1BEE"/>
    <w:rsid w:val="00DA42EF"/>
    <w:rsid w:val="00DA43B9"/>
    <w:rsid w:val="00DA4B0E"/>
    <w:rsid w:val="00DA6ACF"/>
    <w:rsid w:val="00DA7DED"/>
    <w:rsid w:val="00DB026F"/>
    <w:rsid w:val="00DB0288"/>
    <w:rsid w:val="00DB0C79"/>
    <w:rsid w:val="00DB11F4"/>
    <w:rsid w:val="00DB2DC1"/>
    <w:rsid w:val="00DB3322"/>
    <w:rsid w:val="00DB45ED"/>
    <w:rsid w:val="00DB60D0"/>
    <w:rsid w:val="00DB6685"/>
    <w:rsid w:val="00DB6C15"/>
    <w:rsid w:val="00DB74DE"/>
    <w:rsid w:val="00DC13B7"/>
    <w:rsid w:val="00DC1CA3"/>
    <w:rsid w:val="00DC1FAF"/>
    <w:rsid w:val="00DC25CB"/>
    <w:rsid w:val="00DC393D"/>
    <w:rsid w:val="00DC4987"/>
    <w:rsid w:val="00DC4994"/>
    <w:rsid w:val="00DC4E08"/>
    <w:rsid w:val="00DC511E"/>
    <w:rsid w:val="00DC59C7"/>
    <w:rsid w:val="00DC6790"/>
    <w:rsid w:val="00DC7436"/>
    <w:rsid w:val="00DD091C"/>
    <w:rsid w:val="00DD418B"/>
    <w:rsid w:val="00DD427D"/>
    <w:rsid w:val="00DD45DA"/>
    <w:rsid w:val="00DD5A53"/>
    <w:rsid w:val="00DD72A0"/>
    <w:rsid w:val="00DE08F8"/>
    <w:rsid w:val="00DE1263"/>
    <w:rsid w:val="00DE15F4"/>
    <w:rsid w:val="00DE1A0A"/>
    <w:rsid w:val="00DE2088"/>
    <w:rsid w:val="00DE2698"/>
    <w:rsid w:val="00DE3DFD"/>
    <w:rsid w:val="00DE471B"/>
    <w:rsid w:val="00DE4A6B"/>
    <w:rsid w:val="00DE5089"/>
    <w:rsid w:val="00DE517F"/>
    <w:rsid w:val="00DE584B"/>
    <w:rsid w:val="00DF1BCB"/>
    <w:rsid w:val="00DF3462"/>
    <w:rsid w:val="00DF4A45"/>
    <w:rsid w:val="00DF4D6C"/>
    <w:rsid w:val="00DF57ED"/>
    <w:rsid w:val="00DF57F6"/>
    <w:rsid w:val="00DF6A98"/>
    <w:rsid w:val="00E03DFC"/>
    <w:rsid w:val="00E054BB"/>
    <w:rsid w:val="00E05876"/>
    <w:rsid w:val="00E05DE6"/>
    <w:rsid w:val="00E06B35"/>
    <w:rsid w:val="00E06CC8"/>
    <w:rsid w:val="00E071CC"/>
    <w:rsid w:val="00E102DF"/>
    <w:rsid w:val="00E107B3"/>
    <w:rsid w:val="00E10F19"/>
    <w:rsid w:val="00E1181B"/>
    <w:rsid w:val="00E11826"/>
    <w:rsid w:val="00E11AB5"/>
    <w:rsid w:val="00E11E49"/>
    <w:rsid w:val="00E14D21"/>
    <w:rsid w:val="00E15791"/>
    <w:rsid w:val="00E17330"/>
    <w:rsid w:val="00E1750C"/>
    <w:rsid w:val="00E200B1"/>
    <w:rsid w:val="00E20CA3"/>
    <w:rsid w:val="00E228EA"/>
    <w:rsid w:val="00E23D18"/>
    <w:rsid w:val="00E240A5"/>
    <w:rsid w:val="00E247F0"/>
    <w:rsid w:val="00E25817"/>
    <w:rsid w:val="00E266D4"/>
    <w:rsid w:val="00E27F56"/>
    <w:rsid w:val="00E300EC"/>
    <w:rsid w:val="00E36F26"/>
    <w:rsid w:val="00E37B70"/>
    <w:rsid w:val="00E37EDE"/>
    <w:rsid w:val="00E4038B"/>
    <w:rsid w:val="00E449A7"/>
    <w:rsid w:val="00E459F7"/>
    <w:rsid w:val="00E45C76"/>
    <w:rsid w:val="00E465EC"/>
    <w:rsid w:val="00E46900"/>
    <w:rsid w:val="00E5153C"/>
    <w:rsid w:val="00E523EB"/>
    <w:rsid w:val="00E530DB"/>
    <w:rsid w:val="00E54499"/>
    <w:rsid w:val="00E57728"/>
    <w:rsid w:val="00E57A7F"/>
    <w:rsid w:val="00E6023C"/>
    <w:rsid w:val="00E602CC"/>
    <w:rsid w:val="00E63CFB"/>
    <w:rsid w:val="00E644E0"/>
    <w:rsid w:val="00E65E72"/>
    <w:rsid w:val="00E66159"/>
    <w:rsid w:val="00E677EB"/>
    <w:rsid w:val="00E679D7"/>
    <w:rsid w:val="00E70AF7"/>
    <w:rsid w:val="00E70F72"/>
    <w:rsid w:val="00E71F55"/>
    <w:rsid w:val="00E72EFB"/>
    <w:rsid w:val="00E758E8"/>
    <w:rsid w:val="00E77002"/>
    <w:rsid w:val="00E770A3"/>
    <w:rsid w:val="00E77246"/>
    <w:rsid w:val="00E80091"/>
    <w:rsid w:val="00E80344"/>
    <w:rsid w:val="00E80B46"/>
    <w:rsid w:val="00E818AD"/>
    <w:rsid w:val="00E820AD"/>
    <w:rsid w:val="00E84974"/>
    <w:rsid w:val="00E85EB4"/>
    <w:rsid w:val="00E86344"/>
    <w:rsid w:val="00E917E6"/>
    <w:rsid w:val="00E91CB8"/>
    <w:rsid w:val="00E947B7"/>
    <w:rsid w:val="00E95B75"/>
    <w:rsid w:val="00E968CB"/>
    <w:rsid w:val="00EA1510"/>
    <w:rsid w:val="00EA2359"/>
    <w:rsid w:val="00EA24F9"/>
    <w:rsid w:val="00EA499B"/>
    <w:rsid w:val="00EA4F20"/>
    <w:rsid w:val="00EA58BF"/>
    <w:rsid w:val="00EA6050"/>
    <w:rsid w:val="00EA6552"/>
    <w:rsid w:val="00EA70AD"/>
    <w:rsid w:val="00EA73DB"/>
    <w:rsid w:val="00EA77E5"/>
    <w:rsid w:val="00EB0C1A"/>
    <w:rsid w:val="00EB0C2C"/>
    <w:rsid w:val="00EB0E5E"/>
    <w:rsid w:val="00EB119F"/>
    <w:rsid w:val="00EB23AB"/>
    <w:rsid w:val="00EB2B1C"/>
    <w:rsid w:val="00EB6D1C"/>
    <w:rsid w:val="00EB7072"/>
    <w:rsid w:val="00EB7C31"/>
    <w:rsid w:val="00EC2B31"/>
    <w:rsid w:val="00EC5B6B"/>
    <w:rsid w:val="00EC5BB3"/>
    <w:rsid w:val="00ED1122"/>
    <w:rsid w:val="00ED11C2"/>
    <w:rsid w:val="00ED1498"/>
    <w:rsid w:val="00ED1FF5"/>
    <w:rsid w:val="00ED2770"/>
    <w:rsid w:val="00ED4032"/>
    <w:rsid w:val="00ED4DC8"/>
    <w:rsid w:val="00ED6BB4"/>
    <w:rsid w:val="00EE01E6"/>
    <w:rsid w:val="00EE3505"/>
    <w:rsid w:val="00EE5CB2"/>
    <w:rsid w:val="00EE6E75"/>
    <w:rsid w:val="00EE749F"/>
    <w:rsid w:val="00EF183B"/>
    <w:rsid w:val="00EF1E03"/>
    <w:rsid w:val="00EF21EC"/>
    <w:rsid w:val="00EF38B4"/>
    <w:rsid w:val="00EF4C51"/>
    <w:rsid w:val="00EF7D5A"/>
    <w:rsid w:val="00EF7F19"/>
    <w:rsid w:val="00F013ED"/>
    <w:rsid w:val="00F03617"/>
    <w:rsid w:val="00F040ED"/>
    <w:rsid w:val="00F043E1"/>
    <w:rsid w:val="00F04AA0"/>
    <w:rsid w:val="00F04EF2"/>
    <w:rsid w:val="00F05110"/>
    <w:rsid w:val="00F05FA7"/>
    <w:rsid w:val="00F06EAB"/>
    <w:rsid w:val="00F0733C"/>
    <w:rsid w:val="00F1068F"/>
    <w:rsid w:val="00F112EA"/>
    <w:rsid w:val="00F114C9"/>
    <w:rsid w:val="00F11D35"/>
    <w:rsid w:val="00F13519"/>
    <w:rsid w:val="00F16C66"/>
    <w:rsid w:val="00F2010B"/>
    <w:rsid w:val="00F201B3"/>
    <w:rsid w:val="00F2061F"/>
    <w:rsid w:val="00F20C89"/>
    <w:rsid w:val="00F225DC"/>
    <w:rsid w:val="00F25C21"/>
    <w:rsid w:val="00F260BB"/>
    <w:rsid w:val="00F2626E"/>
    <w:rsid w:val="00F26B4C"/>
    <w:rsid w:val="00F275C1"/>
    <w:rsid w:val="00F31C39"/>
    <w:rsid w:val="00F3350B"/>
    <w:rsid w:val="00F33581"/>
    <w:rsid w:val="00F34DA5"/>
    <w:rsid w:val="00F34EF1"/>
    <w:rsid w:val="00F35EC8"/>
    <w:rsid w:val="00F36213"/>
    <w:rsid w:val="00F3777C"/>
    <w:rsid w:val="00F377A4"/>
    <w:rsid w:val="00F409AF"/>
    <w:rsid w:val="00F41368"/>
    <w:rsid w:val="00F41834"/>
    <w:rsid w:val="00F41A16"/>
    <w:rsid w:val="00F425F4"/>
    <w:rsid w:val="00F44420"/>
    <w:rsid w:val="00F45CFC"/>
    <w:rsid w:val="00F469BA"/>
    <w:rsid w:val="00F50BFB"/>
    <w:rsid w:val="00F52628"/>
    <w:rsid w:val="00F55FA6"/>
    <w:rsid w:val="00F56462"/>
    <w:rsid w:val="00F5774B"/>
    <w:rsid w:val="00F60480"/>
    <w:rsid w:val="00F62F11"/>
    <w:rsid w:val="00F635CC"/>
    <w:rsid w:val="00F646CF"/>
    <w:rsid w:val="00F64A08"/>
    <w:rsid w:val="00F64A51"/>
    <w:rsid w:val="00F672B8"/>
    <w:rsid w:val="00F67737"/>
    <w:rsid w:val="00F678E0"/>
    <w:rsid w:val="00F703CA"/>
    <w:rsid w:val="00F715E6"/>
    <w:rsid w:val="00F71A6D"/>
    <w:rsid w:val="00F7263B"/>
    <w:rsid w:val="00F7415E"/>
    <w:rsid w:val="00F741D6"/>
    <w:rsid w:val="00F7564B"/>
    <w:rsid w:val="00F76B51"/>
    <w:rsid w:val="00F774B6"/>
    <w:rsid w:val="00F7795B"/>
    <w:rsid w:val="00F779CD"/>
    <w:rsid w:val="00F80A6A"/>
    <w:rsid w:val="00F8129F"/>
    <w:rsid w:val="00F82D21"/>
    <w:rsid w:val="00F837B8"/>
    <w:rsid w:val="00F84D96"/>
    <w:rsid w:val="00F85108"/>
    <w:rsid w:val="00F85A2E"/>
    <w:rsid w:val="00F86002"/>
    <w:rsid w:val="00F9007D"/>
    <w:rsid w:val="00F91422"/>
    <w:rsid w:val="00F9159D"/>
    <w:rsid w:val="00F9167A"/>
    <w:rsid w:val="00F91D1F"/>
    <w:rsid w:val="00F91DBB"/>
    <w:rsid w:val="00F92EFE"/>
    <w:rsid w:val="00F9344F"/>
    <w:rsid w:val="00F961B9"/>
    <w:rsid w:val="00F971EC"/>
    <w:rsid w:val="00F97856"/>
    <w:rsid w:val="00FA0367"/>
    <w:rsid w:val="00FA347E"/>
    <w:rsid w:val="00FA3EAA"/>
    <w:rsid w:val="00FA49E5"/>
    <w:rsid w:val="00FA5195"/>
    <w:rsid w:val="00FA7568"/>
    <w:rsid w:val="00FB2B62"/>
    <w:rsid w:val="00FB3398"/>
    <w:rsid w:val="00FB38B9"/>
    <w:rsid w:val="00FB3EF3"/>
    <w:rsid w:val="00FB4FC4"/>
    <w:rsid w:val="00FB50D6"/>
    <w:rsid w:val="00FB6240"/>
    <w:rsid w:val="00FB665C"/>
    <w:rsid w:val="00FB668B"/>
    <w:rsid w:val="00FB69A4"/>
    <w:rsid w:val="00FC072E"/>
    <w:rsid w:val="00FC16C3"/>
    <w:rsid w:val="00FC22C3"/>
    <w:rsid w:val="00FC368D"/>
    <w:rsid w:val="00FD094D"/>
    <w:rsid w:val="00FD1533"/>
    <w:rsid w:val="00FD258F"/>
    <w:rsid w:val="00FD4348"/>
    <w:rsid w:val="00FD5E24"/>
    <w:rsid w:val="00FD69D8"/>
    <w:rsid w:val="00FD7735"/>
    <w:rsid w:val="00FD7D5C"/>
    <w:rsid w:val="00FE0D99"/>
    <w:rsid w:val="00FE1080"/>
    <w:rsid w:val="00FE133D"/>
    <w:rsid w:val="00FE2E92"/>
    <w:rsid w:val="00FE4D17"/>
    <w:rsid w:val="00FE4F73"/>
    <w:rsid w:val="00FE5427"/>
    <w:rsid w:val="00FE63A1"/>
    <w:rsid w:val="00FE6A29"/>
    <w:rsid w:val="00FF23BD"/>
    <w:rsid w:val="00FF2B7F"/>
    <w:rsid w:val="00FF3E47"/>
    <w:rsid w:val="00FF536D"/>
    <w:rsid w:val="00FF623A"/>
    <w:rsid w:val="00FF6240"/>
    <w:rsid w:val="00FF680D"/>
    <w:rsid w:val="00FF680E"/>
    <w:rsid w:val="045A2047"/>
    <w:rsid w:val="0A57002D"/>
    <w:rsid w:val="0E6B10C2"/>
    <w:rsid w:val="0FA87BB9"/>
    <w:rsid w:val="101347E7"/>
    <w:rsid w:val="15A4051C"/>
    <w:rsid w:val="188207D6"/>
    <w:rsid w:val="193667F5"/>
    <w:rsid w:val="1AC13E11"/>
    <w:rsid w:val="1B807468"/>
    <w:rsid w:val="1E1D74CF"/>
    <w:rsid w:val="1F8852E2"/>
    <w:rsid w:val="20370574"/>
    <w:rsid w:val="22C16239"/>
    <w:rsid w:val="23CD317F"/>
    <w:rsid w:val="24187101"/>
    <w:rsid w:val="2475605F"/>
    <w:rsid w:val="247E49D1"/>
    <w:rsid w:val="253617A6"/>
    <w:rsid w:val="28382C3A"/>
    <w:rsid w:val="297C1823"/>
    <w:rsid w:val="29DB6830"/>
    <w:rsid w:val="2D6747C0"/>
    <w:rsid w:val="2DFE7E53"/>
    <w:rsid w:val="2ECB3AD2"/>
    <w:rsid w:val="2FD93C26"/>
    <w:rsid w:val="30383F90"/>
    <w:rsid w:val="315F792B"/>
    <w:rsid w:val="328D402F"/>
    <w:rsid w:val="35E10098"/>
    <w:rsid w:val="3623352B"/>
    <w:rsid w:val="37874E28"/>
    <w:rsid w:val="396F3A83"/>
    <w:rsid w:val="3984743C"/>
    <w:rsid w:val="3C380DDF"/>
    <w:rsid w:val="3D6F0EF6"/>
    <w:rsid w:val="3E045AE2"/>
    <w:rsid w:val="417B2181"/>
    <w:rsid w:val="436E27C7"/>
    <w:rsid w:val="43C15C8B"/>
    <w:rsid w:val="453827AF"/>
    <w:rsid w:val="47B3762B"/>
    <w:rsid w:val="48194922"/>
    <w:rsid w:val="4A104DDA"/>
    <w:rsid w:val="4BCC28C2"/>
    <w:rsid w:val="4BDD1FF5"/>
    <w:rsid w:val="4C87303B"/>
    <w:rsid w:val="4D165890"/>
    <w:rsid w:val="4D730EE3"/>
    <w:rsid w:val="4E755BBF"/>
    <w:rsid w:val="4FD872D6"/>
    <w:rsid w:val="50412EAD"/>
    <w:rsid w:val="50DE50F1"/>
    <w:rsid w:val="510936E3"/>
    <w:rsid w:val="525C37D5"/>
    <w:rsid w:val="550F232E"/>
    <w:rsid w:val="56EF1FE3"/>
    <w:rsid w:val="59A31EA9"/>
    <w:rsid w:val="5AA664F1"/>
    <w:rsid w:val="5AB67F96"/>
    <w:rsid w:val="5BD8483D"/>
    <w:rsid w:val="5EC93A80"/>
    <w:rsid w:val="5F213DCC"/>
    <w:rsid w:val="5F8C4929"/>
    <w:rsid w:val="60C76992"/>
    <w:rsid w:val="62DB7F23"/>
    <w:rsid w:val="636D0703"/>
    <w:rsid w:val="651C0FAE"/>
    <w:rsid w:val="66126DD3"/>
    <w:rsid w:val="6700077F"/>
    <w:rsid w:val="674906EE"/>
    <w:rsid w:val="67A96665"/>
    <w:rsid w:val="68636B44"/>
    <w:rsid w:val="68646F1F"/>
    <w:rsid w:val="6B071BFF"/>
    <w:rsid w:val="6EE252F2"/>
    <w:rsid w:val="70F2565F"/>
    <w:rsid w:val="710A3346"/>
    <w:rsid w:val="721530FE"/>
    <w:rsid w:val="75D601D8"/>
    <w:rsid w:val="77FA4C7A"/>
    <w:rsid w:val="781E381A"/>
    <w:rsid w:val="7A321FA6"/>
    <w:rsid w:val="7AF313DB"/>
    <w:rsid w:val="7CBD0051"/>
    <w:rsid w:val="7DA078D2"/>
    <w:rsid w:val="7E0B6632"/>
    <w:rsid w:val="7E93358B"/>
    <w:rsid w:val="7EDC1A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5"/>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6"/>
    <w:qFormat/>
    <w:uiPriority w:val="99"/>
    <w:pPr>
      <w:keepNext/>
      <w:keepLines/>
      <w:spacing w:before="260" w:after="260" w:line="416" w:lineRule="atLeast"/>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annotation text"/>
    <w:basedOn w:val="1"/>
    <w:link w:val="27"/>
    <w:semiHidden/>
    <w:qFormat/>
    <w:locked/>
    <w:uiPriority w:val="99"/>
    <w:pPr>
      <w:jc w:val="left"/>
    </w:pPr>
  </w:style>
  <w:style w:type="paragraph" w:styleId="5">
    <w:name w:val="Body Text"/>
    <w:basedOn w:val="1"/>
    <w:link w:val="66"/>
    <w:unhideWhenUsed/>
    <w:qFormat/>
    <w:locked/>
    <w:uiPriority w:val="99"/>
    <w:pPr>
      <w:spacing w:after="120"/>
    </w:pPr>
  </w:style>
  <w:style w:type="paragraph" w:styleId="6">
    <w:name w:val="Body Text Indent"/>
    <w:basedOn w:val="1"/>
    <w:link w:val="29"/>
    <w:qFormat/>
    <w:uiPriority w:val="99"/>
    <w:pPr>
      <w:widowControl w:val="0"/>
      <w:snapToGrid w:val="0"/>
      <w:spacing w:before="283" w:line="560" w:lineRule="exact"/>
      <w:ind w:firstLine="510"/>
    </w:pPr>
    <w:rPr>
      <w:sz w:val="20"/>
    </w:rPr>
  </w:style>
  <w:style w:type="paragraph" w:styleId="7">
    <w:name w:val="Plain Text"/>
    <w:basedOn w:val="1"/>
    <w:link w:val="59"/>
    <w:qFormat/>
    <w:uiPriority w:val="99"/>
    <w:pPr>
      <w:widowControl w:val="0"/>
      <w:spacing w:line="240" w:lineRule="auto"/>
      <w:textAlignment w:val="auto"/>
    </w:pPr>
    <w:rPr>
      <w:rFonts w:ascii="宋体" w:hAnsi="Courier New"/>
    </w:rPr>
  </w:style>
  <w:style w:type="paragraph" w:styleId="8">
    <w:name w:val="Date"/>
    <w:basedOn w:val="1"/>
    <w:next w:val="1"/>
    <w:link w:val="31"/>
    <w:qFormat/>
    <w:uiPriority w:val="99"/>
    <w:pPr>
      <w:ind w:left="100" w:leftChars="2500"/>
    </w:pPr>
  </w:style>
  <w:style w:type="paragraph" w:styleId="9">
    <w:name w:val="Balloon Text"/>
    <w:basedOn w:val="1"/>
    <w:link w:val="32"/>
    <w:qFormat/>
    <w:uiPriority w:val="99"/>
    <w:pPr>
      <w:spacing w:line="240" w:lineRule="auto"/>
    </w:pPr>
    <w:rPr>
      <w:sz w:val="18"/>
      <w:szCs w:val="18"/>
    </w:rPr>
  </w:style>
  <w:style w:type="paragraph" w:styleId="10">
    <w:name w:val="footer"/>
    <w:basedOn w:val="1"/>
    <w:link w:val="33"/>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link w:val="35"/>
    <w:qFormat/>
    <w:uiPriority w:val="99"/>
    <w:pPr>
      <w:spacing w:after="120" w:line="480" w:lineRule="auto"/>
    </w:pPr>
    <w:rPr>
      <w:sz w:val="20"/>
    </w:rPr>
  </w:style>
  <w:style w:type="paragraph" w:styleId="15">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6">
    <w:name w:val="annotation subject"/>
    <w:basedOn w:val="4"/>
    <w:next w:val="4"/>
    <w:link w:val="28"/>
    <w:semiHidden/>
    <w:qFormat/>
    <w:locked/>
    <w:uiPriority w:val="99"/>
    <w:rPr>
      <w:b/>
      <w:bCs/>
    </w:rPr>
  </w:style>
  <w:style w:type="paragraph" w:styleId="17">
    <w:name w:val="Body Text First Indent"/>
    <w:basedOn w:val="5"/>
    <w:link w:val="67"/>
    <w:unhideWhenUsed/>
    <w:qFormat/>
    <w:locked/>
    <w:uiPriority w:val="99"/>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99"/>
    <w:rPr>
      <w:rFonts w:cs="Times New Roman"/>
    </w:rPr>
  </w:style>
  <w:style w:type="character" w:styleId="23">
    <w:name w:val="Hyperlink"/>
    <w:basedOn w:val="20"/>
    <w:qFormat/>
    <w:uiPriority w:val="99"/>
    <w:rPr>
      <w:rFonts w:cs="Times New Roman"/>
      <w:color w:val="0368A8"/>
      <w:u w:val="none"/>
    </w:rPr>
  </w:style>
  <w:style w:type="character" w:styleId="24">
    <w:name w:val="annotation reference"/>
    <w:basedOn w:val="20"/>
    <w:semiHidden/>
    <w:qFormat/>
    <w:locked/>
    <w:uiPriority w:val="99"/>
    <w:rPr>
      <w:rFonts w:cs="Times New Roman"/>
      <w:sz w:val="21"/>
      <w:szCs w:val="21"/>
    </w:rPr>
  </w:style>
  <w:style w:type="character" w:customStyle="1" w:styleId="25">
    <w:name w:val="标题 1 Char"/>
    <w:basedOn w:val="20"/>
    <w:link w:val="2"/>
    <w:qFormat/>
    <w:locked/>
    <w:uiPriority w:val="99"/>
    <w:rPr>
      <w:rFonts w:cs="Times New Roman"/>
      <w:b/>
      <w:color w:val="000000"/>
      <w:kern w:val="44"/>
      <w:sz w:val="44"/>
      <w:u w:val="none" w:color="000000"/>
    </w:rPr>
  </w:style>
  <w:style w:type="character" w:customStyle="1" w:styleId="26">
    <w:name w:val="标题 3 Char"/>
    <w:basedOn w:val="20"/>
    <w:link w:val="3"/>
    <w:semiHidden/>
    <w:qFormat/>
    <w:locked/>
    <w:uiPriority w:val="99"/>
    <w:rPr>
      <w:rFonts w:cs="Times New Roman"/>
      <w:b/>
      <w:color w:val="000000"/>
      <w:sz w:val="32"/>
      <w:u w:val="none" w:color="000000"/>
    </w:rPr>
  </w:style>
  <w:style w:type="character" w:customStyle="1" w:styleId="27">
    <w:name w:val="批注文字 Char"/>
    <w:basedOn w:val="20"/>
    <w:link w:val="4"/>
    <w:semiHidden/>
    <w:qFormat/>
    <w:locked/>
    <w:uiPriority w:val="99"/>
    <w:rPr>
      <w:rFonts w:cs="Times New Roman"/>
      <w:color w:val="000000"/>
      <w:sz w:val="21"/>
      <w:u w:color="000000"/>
    </w:rPr>
  </w:style>
  <w:style w:type="character" w:customStyle="1" w:styleId="28">
    <w:name w:val="批注主题 Char"/>
    <w:basedOn w:val="27"/>
    <w:link w:val="16"/>
    <w:semiHidden/>
    <w:qFormat/>
    <w:locked/>
    <w:uiPriority w:val="99"/>
    <w:rPr>
      <w:rFonts w:cs="Times New Roman"/>
      <w:b/>
      <w:bCs/>
      <w:color w:val="000000"/>
      <w:sz w:val="21"/>
      <w:u w:color="000000"/>
    </w:rPr>
  </w:style>
  <w:style w:type="character" w:customStyle="1" w:styleId="29">
    <w:name w:val="正文文本缩进 Char"/>
    <w:basedOn w:val="20"/>
    <w:link w:val="6"/>
    <w:semiHidden/>
    <w:qFormat/>
    <w:locked/>
    <w:uiPriority w:val="99"/>
    <w:rPr>
      <w:rFonts w:cs="Times New Roman"/>
      <w:color w:val="000000"/>
      <w:kern w:val="0"/>
      <w:sz w:val="20"/>
      <w:u w:val="none" w:color="000000"/>
    </w:rPr>
  </w:style>
  <w:style w:type="character" w:customStyle="1" w:styleId="30">
    <w:name w:val="Plain Text Char"/>
    <w:basedOn w:val="20"/>
    <w:qFormat/>
    <w:locked/>
    <w:uiPriority w:val="99"/>
    <w:rPr>
      <w:rFonts w:ascii="宋体" w:hAnsi="Courier New" w:eastAsia="宋体" w:cs="Times New Roman"/>
      <w:kern w:val="2"/>
      <w:sz w:val="21"/>
      <w:lang w:val="en-US" w:eastAsia="zh-CN"/>
    </w:rPr>
  </w:style>
  <w:style w:type="character" w:customStyle="1" w:styleId="31">
    <w:name w:val="日期 Char"/>
    <w:basedOn w:val="20"/>
    <w:link w:val="8"/>
    <w:qFormat/>
    <w:locked/>
    <w:uiPriority w:val="99"/>
    <w:rPr>
      <w:rFonts w:cs="Times New Roman"/>
      <w:color w:val="000000"/>
      <w:sz w:val="21"/>
      <w:u w:val="none" w:color="000000"/>
    </w:rPr>
  </w:style>
  <w:style w:type="character" w:customStyle="1" w:styleId="32">
    <w:name w:val="批注框文本 Char"/>
    <w:basedOn w:val="20"/>
    <w:link w:val="9"/>
    <w:qFormat/>
    <w:locked/>
    <w:uiPriority w:val="99"/>
    <w:rPr>
      <w:rFonts w:cs="Times New Roman"/>
      <w:color w:val="000000"/>
      <w:sz w:val="18"/>
      <w:u w:val="none" w:color="000000"/>
    </w:rPr>
  </w:style>
  <w:style w:type="character" w:customStyle="1" w:styleId="33">
    <w:name w:val="页脚 Char"/>
    <w:basedOn w:val="20"/>
    <w:link w:val="10"/>
    <w:semiHidden/>
    <w:qFormat/>
    <w:locked/>
    <w:uiPriority w:val="99"/>
    <w:rPr>
      <w:rFonts w:cs="Times New Roman"/>
      <w:color w:val="000000"/>
      <w:kern w:val="0"/>
      <w:sz w:val="18"/>
      <w:u w:val="none" w:color="000000"/>
    </w:rPr>
  </w:style>
  <w:style w:type="character" w:customStyle="1" w:styleId="34">
    <w:name w:val="页眉 Char"/>
    <w:basedOn w:val="20"/>
    <w:link w:val="11"/>
    <w:semiHidden/>
    <w:qFormat/>
    <w:locked/>
    <w:uiPriority w:val="99"/>
    <w:rPr>
      <w:rFonts w:cs="Times New Roman"/>
      <w:color w:val="000000"/>
      <w:kern w:val="0"/>
      <w:sz w:val="18"/>
      <w:u w:val="none" w:color="000000"/>
    </w:rPr>
  </w:style>
  <w:style w:type="character" w:customStyle="1" w:styleId="35">
    <w:name w:val="正文文本 2 Char"/>
    <w:basedOn w:val="20"/>
    <w:link w:val="14"/>
    <w:semiHidden/>
    <w:qFormat/>
    <w:locked/>
    <w:uiPriority w:val="99"/>
    <w:rPr>
      <w:rFonts w:cs="Times New Roman"/>
      <w:color w:val="000000"/>
      <w:kern w:val="0"/>
      <w:sz w:val="20"/>
      <w:u w:val="none" w:color="000000"/>
    </w:rPr>
  </w:style>
  <w:style w:type="paragraph" w:customStyle="1" w:styleId="36">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7">
    <w:name w:val="章标题"/>
    <w:basedOn w:val="1"/>
    <w:next w:val="38"/>
    <w:qFormat/>
    <w:uiPriority w:val="99"/>
    <w:pPr>
      <w:spacing w:before="158" w:after="153" w:line="323" w:lineRule="atLeast"/>
      <w:jc w:val="center"/>
    </w:pPr>
    <w:rPr>
      <w:rFonts w:ascii="Arial" w:eastAsia="黑体"/>
      <w:sz w:val="31"/>
    </w:rPr>
  </w:style>
  <w:style w:type="paragraph" w:customStyle="1" w:styleId="38">
    <w:name w:val="节标题"/>
    <w:basedOn w:val="1"/>
    <w:next w:val="39"/>
    <w:qFormat/>
    <w:uiPriority w:val="99"/>
    <w:pPr>
      <w:spacing w:line="289" w:lineRule="atLeast"/>
      <w:jc w:val="center"/>
    </w:pPr>
    <w:rPr>
      <w:sz w:val="28"/>
    </w:rPr>
  </w:style>
  <w:style w:type="paragraph" w:customStyle="1" w:styleId="39">
    <w:name w:val="小节标题"/>
    <w:basedOn w:val="1"/>
    <w:next w:val="1"/>
    <w:qFormat/>
    <w:uiPriority w:val="99"/>
    <w:pPr>
      <w:spacing w:before="175" w:after="102" w:line="351" w:lineRule="atLeast"/>
    </w:pPr>
    <w:rPr>
      <w:rFonts w:eastAsia="黑体"/>
    </w:rPr>
  </w:style>
  <w:style w:type="paragraph" w:customStyle="1" w:styleId="40">
    <w:name w:val="目录2"/>
    <w:basedOn w:val="1"/>
    <w:next w:val="1"/>
    <w:qFormat/>
    <w:uiPriority w:val="99"/>
    <w:pPr>
      <w:tabs>
        <w:tab w:val="left" w:leader="dot" w:pos="8503"/>
      </w:tabs>
      <w:spacing w:line="317" w:lineRule="atLeast"/>
      <w:ind w:firstLine="209"/>
    </w:pPr>
  </w:style>
  <w:style w:type="paragraph" w:customStyle="1" w:styleId="41">
    <w:name w:val="目录4"/>
    <w:basedOn w:val="1"/>
    <w:next w:val="1"/>
    <w:qFormat/>
    <w:uiPriority w:val="99"/>
    <w:pPr>
      <w:tabs>
        <w:tab w:val="left" w:leader="dot" w:pos="8503"/>
      </w:tabs>
      <w:spacing w:line="317" w:lineRule="atLeast"/>
      <w:ind w:firstLine="629"/>
    </w:pPr>
  </w:style>
  <w:style w:type="paragraph" w:customStyle="1" w:styleId="42">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3">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4">
    <w:name w:val="目录3"/>
    <w:basedOn w:val="1"/>
    <w:next w:val="1"/>
    <w:qFormat/>
    <w:uiPriority w:val="99"/>
    <w:pPr>
      <w:tabs>
        <w:tab w:val="left" w:leader="dot" w:pos="8503"/>
      </w:tabs>
      <w:spacing w:line="317" w:lineRule="atLeast"/>
      <w:ind w:firstLine="419"/>
    </w:pPr>
  </w:style>
  <w:style w:type="paragraph" w:customStyle="1" w:styleId="45">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6">
    <w:name w:val="文章总标题"/>
    <w:basedOn w:val="1"/>
    <w:next w:val="47"/>
    <w:qFormat/>
    <w:uiPriority w:val="99"/>
    <w:pPr>
      <w:spacing w:before="566" w:after="544" w:line="566" w:lineRule="atLeast"/>
      <w:jc w:val="center"/>
    </w:pPr>
    <w:rPr>
      <w:rFonts w:ascii="Arial" w:eastAsia="黑体"/>
      <w:sz w:val="54"/>
    </w:rPr>
  </w:style>
  <w:style w:type="paragraph" w:customStyle="1" w:styleId="47">
    <w:name w:val="文章附标题"/>
    <w:basedOn w:val="1"/>
    <w:next w:val="37"/>
    <w:qFormat/>
    <w:uiPriority w:val="99"/>
    <w:pPr>
      <w:spacing w:before="187" w:after="175" w:line="374" w:lineRule="atLeast"/>
      <w:jc w:val="center"/>
    </w:pPr>
    <w:rPr>
      <w:sz w:val="36"/>
    </w:rPr>
  </w:style>
  <w:style w:type="paragraph" w:customStyle="1" w:styleId="48">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9">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0">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1">
    <w:name w:val="WPS Plain"/>
    <w:qFormat/>
    <w:uiPriority w:val="99"/>
    <w:rPr>
      <w:rFonts w:ascii="Times New Roman" w:hAnsi="Times New Roman" w:eastAsia="宋体" w:cs="Times New Roman"/>
      <w:lang w:val="en-US" w:eastAsia="zh-CN" w:bidi="ar-SA"/>
    </w:rPr>
  </w:style>
  <w:style w:type="paragraph" w:customStyle="1" w:styleId="52">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4">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5">
    <w:name w:val="List Paragraph1"/>
    <w:basedOn w:val="1"/>
    <w:qFormat/>
    <w:uiPriority w:val="99"/>
    <w:pPr>
      <w:ind w:firstLine="420" w:firstLineChars="200"/>
    </w:pPr>
  </w:style>
  <w:style w:type="character" w:customStyle="1" w:styleId="56">
    <w:name w:val="链接"/>
    <w:qFormat/>
    <w:uiPriority w:val="99"/>
    <w:rPr>
      <w:rFonts w:ascii="Times New Roman" w:eastAsia="宋体"/>
      <w:color w:val="0000FF"/>
      <w:sz w:val="21"/>
      <w:u w:val="single" w:color="0000FF"/>
      <w:lang w:val="en-US" w:eastAsia="zh-CN"/>
    </w:rPr>
  </w:style>
  <w:style w:type="character" w:customStyle="1" w:styleId="57">
    <w:name w:val="超级链接"/>
    <w:qFormat/>
    <w:uiPriority w:val="99"/>
    <w:rPr>
      <w:rFonts w:ascii="Times New Roman" w:eastAsia="宋体"/>
      <w:color w:val="0000FF"/>
      <w:sz w:val="21"/>
      <w:u w:val="single" w:color="0000FF"/>
      <w:lang w:val="en-US" w:eastAsia="zh-CN"/>
    </w:rPr>
  </w:style>
  <w:style w:type="character" w:customStyle="1" w:styleId="58">
    <w:name w:val="param_td12"/>
    <w:qFormat/>
    <w:uiPriority w:val="99"/>
  </w:style>
  <w:style w:type="character" w:customStyle="1" w:styleId="59">
    <w:name w:val="纯文本 Char"/>
    <w:link w:val="7"/>
    <w:semiHidden/>
    <w:qFormat/>
    <w:locked/>
    <w:uiPriority w:val="99"/>
    <w:rPr>
      <w:rFonts w:ascii="宋体" w:hAnsi="Courier New"/>
      <w:color w:val="000000"/>
      <w:kern w:val="0"/>
      <w:sz w:val="21"/>
      <w:u w:val="none" w:color="000000"/>
    </w:rPr>
  </w:style>
  <w:style w:type="character" w:customStyle="1" w:styleId="60">
    <w:name w:val="纯文本 Char Char"/>
    <w:qFormat/>
    <w:uiPriority w:val="99"/>
    <w:rPr>
      <w:rFonts w:ascii="宋体" w:hAnsi="Courier New" w:eastAsia="宋体"/>
      <w:kern w:val="2"/>
      <w:sz w:val="21"/>
      <w:lang w:val="en-US" w:eastAsia="zh-CN"/>
    </w:rPr>
  </w:style>
  <w:style w:type="character" w:customStyle="1" w:styleId="61">
    <w:name w:val="Char Char4"/>
    <w:qFormat/>
    <w:uiPriority w:val="99"/>
    <w:rPr>
      <w:rFonts w:ascii="宋体" w:eastAsia="宋体"/>
      <w:kern w:val="2"/>
      <w:sz w:val="28"/>
    </w:rPr>
  </w:style>
  <w:style w:type="character" w:customStyle="1" w:styleId="62">
    <w:name w:val="纯文本 Char1"/>
    <w:qFormat/>
    <w:locked/>
    <w:uiPriority w:val="99"/>
    <w:rPr>
      <w:rFonts w:ascii="宋体" w:hAnsi="Courier New"/>
      <w:kern w:val="2"/>
      <w:sz w:val="21"/>
      <w:u w:color="000000"/>
    </w:rPr>
  </w:style>
  <w:style w:type="character" w:customStyle="1" w:styleId="63">
    <w:name w:val="15"/>
    <w:basedOn w:val="20"/>
    <w:qFormat/>
    <w:uiPriority w:val="99"/>
    <w:rPr>
      <w:rFonts w:cs="Times New Roman"/>
    </w:rPr>
  </w:style>
  <w:style w:type="character" w:customStyle="1" w:styleId="64">
    <w:name w:val="样式 首行缩进:  0 字符 Char"/>
    <w:link w:val="65"/>
    <w:qFormat/>
    <w:locked/>
    <w:uiPriority w:val="0"/>
    <w:rPr>
      <w:sz w:val="24"/>
    </w:rPr>
  </w:style>
  <w:style w:type="paragraph" w:customStyle="1" w:styleId="65">
    <w:name w:val="样式 首行缩进:  0 字符"/>
    <w:basedOn w:val="1"/>
    <w:link w:val="64"/>
    <w:qFormat/>
    <w:uiPriority w:val="0"/>
    <w:pPr>
      <w:widowControl w:val="0"/>
      <w:spacing w:line="360" w:lineRule="auto"/>
      <w:ind w:firstLine="200" w:firstLineChars="200"/>
      <w:textAlignment w:val="auto"/>
    </w:pPr>
    <w:rPr>
      <w:color w:val="auto"/>
      <w:sz w:val="24"/>
    </w:rPr>
  </w:style>
  <w:style w:type="character" w:customStyle="1" w:styleId="66">
    <w:name w:val="正文文本 Char"/>
    <w:basedOn w:val="20"/>
    <w:link w:val="5"/>
    <w:semiHidden/>
    <w:qFormat/>
    <w:uiPriority w:val="99"/>
    <w:rPr>
      <w:color w:val="000000"/>
      <w:sz w:val="21"/>
      <w:u w:color="000000"/>
    </w:rPr>
  </w:style>
  <w:style w:type="character" w:customStyle="1" w:styleId="67">
    <w:name w:val="正文首行缩进 Char"/>
    <w:basedOn w:val="66"/>
    <w:link w:val="17"/>
    <w:semiHidden/>
    <w:qFormat/>
    <w:uiPriority w:val="99"/>
    <w:rPr>
      <w:color w:val="000000"/>
      <w:sz w:val="21"/>
      <w:u w:color="000000"/>
    </w:rPr>
  </w:style>
  <w:style w:type="paragraph" w:customStyle="1" w:styleId="68">
    <w:name w:val="正文文本 (2)"/>
    <w:basedOn w:val="1"/>
    <w:link w:val="72"/>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9">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70">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1">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character" w:customStyle="1" w:styleId="72">
    <w:name w:val="正文文本 (2)_"/>
    <w:link w:val="68"/>
    <w:qFormat/>
    <w:uiPriority w:val="0"/>
    <w:rPr>
      <w:rFonts w:ascii="MingLiU" w:hAnsi="MingLiU" w:eastAsia="MingLiU" w:cs="MingLiU"/>
      <w:spacing w:val="30"/>
      <w:sz w:val="30"/>
      <w:szCs w:val="30"/>
      <w:u w:color="000000"/>
      <w:shd w:val="clear" w:color="auto" w:fill="FFFFFF"/>
    </w:rPr>
  </w:style>
  <w:style w:type="paragraph" w:customStyle="1" w:styleId="73">
    <w:name w:val="Table Text"/>
    <w:basedOn w:val="1"/>
    <w:semiHidden/>
    <w:qFormat/>
    <w:uiPriority w:val="0"/>
    <w:pPr>
      <w:kinsoku w:val="0"/>
      <w:autoSpaceDE w:val="0"/>
      <w:autoSpaceDN w:val="0"/>
      <w:adjustRightInd w:val="0"/>
      <w:snapToGrid w:val="0"/>
      <w:spacing w:line="240" w:lineRule="auto"/>
      <w:jc w:val="left"/>
    </w:pPr>
    <w:rPr>
      <w:rFonts w:ascii="仿宋" w:hAnsi="仿宋" w:eastAsia="仿宋" w:cs="仿宋"/>
      <w:snapToGrid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13499</Words>
  <Characters>14434</Characters>
  <Lines>63</Lines>
  <Paragraphs>100</Paragraphs>
  <TotalTime>0</TotalTime>
  <ScaleCrop>false</ScaleCrop>
  <LinksUpToDate>false</LinksUpToDate>
  <CharactersWithSpaces>14660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2015-09-13T11:01:00Z</dcterms:created>
  <dc:creator>ZM</dc:creator>
  <cp:lastModifiedBy>Administrator</cp:lastModifiedBy>
  <cp:lastPrinted>2025-02-25T02:15:00Z</cp:lastPrinted>
  <dcterms:modified xsi:type="dcterms:W3CDTF">2025-04-02T06:52:58Z</dcterms:modified>
  <cp:revision>507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8BA163039B824380A4D50FB011A78DBE_13</vt:lpwstr>
  </property>
  <property fmtid="{D5CDD505-2E9C-101B-9397-08002B2CF9AE}" pid="4" name="KSOTemplateDocerSaveRecord">
    <vt:lpwstr>eyJoZGlkIjoiYzIzZjE4ZmIyOGYzOGE2MTU1YmVlN2UwM2NiZjY5NDkifQ==</vt:lpwstr>
  </property>
</Properties>
</file>